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32"/>
        <w:gridCol w:w="5948"/>
      </w:tblGrid>
      <w:tr w:rsidR="00B90198" w:rsidTr="008640F9">
        <w:tc>
          <w:tcPr>
            <w:tcW w:w="3032" w:type="dxa"/>
          </w:tcPr>
          <w:p w:rsidR="00B90198" w:rsidRDefault="00B90198" w:rsidP="006A61A8">
            <w:pPr>
              <w:suppressLineNumbers/>
              <w:spacing w:line="360" w:lineRule="auto"/>
              <w:rPr>
                <w:rFonts w:ascii="David" w:eastAsia="David" w:hAnsi="David"/>
                <w:b/>
                <w:bCs/>
                <w:noProof w:val="0"/>
              </w:rPr>
            </w:pPr>
            <w:bookmarkStart w:id="0" w:name="_GoBack"/>
            <w:bookmarkEnd w:id="0"/>
          </w:p>
          <w:p w:rsidR="00B90198" w:rsidRDefault="00B90198" w:rsidP="006A61A8">
            <w:pPr>
              <w:suppressLineNumbers/>
              <w:spacing w:line="360" w:lineRule="auto"/>
              <w:rPr>
                <w:rFonts w:ascii="David" w:eastAsia="David" w:hAnsi="David"/>
                <w:b/>
                <w:bCs/>
                <w:rtl/>
              </w:rPr>
            </w:pPr>
            <w:r>
              <w:rPr>
                <w:rFonts w:ascii="David" w:eastAsia="David" w:hAnsi="David" w:hint="cs"/>
                <w:b/>
                <w:bCs/>
                <w:rtl/>
              </w:rPr>
              <w:t>העותרת</w:t>
            </w:r>
          </w:p>
        </w:tc>
        <w:tc>
          <w:tcPr>
            <w:tcW w:w="5948" w:type="dxa"/>
          </w:tcPr>
          <w:p w:rsidR="00B90198" w:rsidRDefault="00B90198" w:rsidP="006A61A8">
            <w:pPr>
              <w:suppressLineNumbers/>
              <w:spacing w:line="360" w:lineRule="auto"/>
              <w:rPr>
                <w:rFonts w:cs="Times New Roman"/>
                <w:b/>
                <w:bCs/>
                <w:rtl/>
              </w:rPr>
            </w:pPr>
          </w:p>
          <w:p w:rsidR="00B90198" w:rsidRDefault="00B90198" w:rsidP="006A61A8">
            <w:pPr>
              <w:suppressLineNumbers/>
              <w:spacing w:line="360" w:lineRule="auto"/>
              <w:rPr>
                <w:rFonts w:ascii="David" w:eastAsia="David" w:hAnsi="David"/>
                <w:b/>
                <w:bCs/>
                <w:rtl/>
              </w:rPr>
            </w:pPr>
            <w:r>
              <w:rPr>
                <w:rFonts w:ascii="David" w:eastAsia="David" w:hAnsi="David" w:hint="cs"/>
                <w:b/>
                <w:bCs/>
                <w:rtl/>
              </w:rPr>
              <w:t xml:space="preserve">פז חברת נפט בע"מ </w:t>
            </w:r>
          </w:p>
          <w:p w:rsidR="00B90198" w:rsidRDefault="00B90198" w:rsidP="006A61A8">
            <w:pPr>
              <w:suppressLineNumbers/>
              <w:spacing w:line="360" w:lineRule="auto"/>
              <w:rPr>
                <w:rFonts w:cs="Times New Roman"/>
                <w:rtl/>
              </w:rPr>
            </w:pPr>
            <w:r>
              <w:rPr>
                <w:rFonts w:ascii="David" w:eastAsia="David" w:hAnsi="David" w:hint="cs"/>
                <w:b/>
                <w:bCs/>
                <w:rtl/>
              </w:rPr>
              <w:t>ע"י ב"כ עו"ד עמינדב בלוזר</w:t>
            </w:r>
          </w:p>
        </w:tc>
      </w:tr>
      <w:tr w:rsidR="00B90198" w:rsidTr="008640F9">
        <w:tc>
          <w:tcPr>
            <w:tcW w:w="8980" w:type="dxa"/>
            <w:gridSpan w:val="2"/>
          </w:tcPr>
          <w:p w:rsidR="00B90198" w:rsidRDefault="00B90198" w:rsidP="006A61A8">
            <w:pPr>
              <w:suppressLineNumbers/>
              <w:spacing w:line="360" w:lineRule="auto"/>
              <w:rPr>
                <w:rFonts w:ascii="David" w:eastAsia="David" w:hAnsi="David"/>
                <w:b/>
                <w:bCs/>
                <w:rtl/>
              </w:rPr>
            </w:pPr>
          </w:p>
          <w:p w:rsidR="00B90198" w:rsidRDefault="00B90198" w:rsidP="006A61A8">
            <w:pPr>
              <w:suppressLineNumbers/>
              <w:spacing w:line="360" w:lineRule="auto"/>
              <w:jc w:val="center"/>
              <w:rPr>
                <w:rFonts w:ascii="David" w:eastAsia="David" w:hAnsi="David"/>
                <w:b/>
                <w:bCs/>
                <w:rtl/>
              </w:rPr>
            </w:pPr>
            <w:r>
              <w:rPr>
                <w:rFonts w:ascii="David" w:eastAsia="David" w:hAnsi="David" w:hint="cs"/>
                <w:b/>
                <w:bCs/>
                <w:rtl/>
              </w:rPr>
              <w:t>נגד</w:t>
            </w:r>
          </w:p>
          <w:p w:rsidR="00B90198" w:rsidRDefault="00B90198" w:rsidP="006A61A8">
            <w:pPr>
              <w:suppressLineNumbers/>
              <w:spacing w:line="360" w:lineRule="auto"/>
              <w:rPr>
                <w:rFonts w:ascii="David" w:eastAsia="David" w:hAnsi="David"/>
                <w:b/>
                <w:bCs/>
                <w:rtl/>
              </w:rPr>
            </w:pPr>
          </w:p>
        </w:tc>
      </w:tr>
      <w:tr w:rsidR="00B90198" w:rsidTr="008640F9">
        <w:trPr>
          <w:trHeight w:val="740"/>
        </w:trPr>
        <w:tc>
          <w:tcPr>
            <w:tcW w:w="3032" w:type="dxa"/>
            <w:hideMark/>
          </w:tcPr>
          <w:p w:rsidR="00B90198" w:rsidRDefault="00B90198" w:rsidP="006A61A8">
            <w:pPr>
              <w:suppressLineNumbers/>
              <w:spacing w:line="360" w:lineRule="auto"/>
              <w:rPr>
                <w:rFonts w:ascii="David" w:eastAsia="David" w:hAnsi="David"/>
                <w:b/>
                <w:bCs/>
                <w:rtl/>
              </w:rPr>
            </w:pPr>
            <w:r>
              <w:rPr>
                <w:rFonts w:ascii="David" w:eastAsia="David" w:hAnsi="David" w:hint="cs"/>
                <w:b/>
                <w:bCs/>
                <w:rtl/>
              </w:rPr>
              <w:t>המשיבים</w:t>
            </w:r>
          </w:p>
        </w:tc>
        <w:tc>
          <w:tcPr>
            <w:tcW w:w="5948" w:type="dxa"/>
          </w:tcPr>
          <w:p w:rsidR="00B90198" w:rsidRDefault="00B90198" w:rsidP="006A61A8">
            <w:pPr>
              <w:suppressLineNumbers/>
              <w:spacing w:line="360" w:lineRule="auto"/>
              <w:rPr>
                <w:rFonts w:ascii="David" w:eastAsia="David" w:hAnsi="David"/>
                <w:b/>
                <w:bCs/>
                <w:rtl/>
              </w:rPr>
            </w:pPr>
            <w:r>
              <w:rPr>
                <w:rFonts w:ascii="David" w:eastAsia="David" w:hAnsi="David"/>
                <w:b/>
                <w:bCs/>
              </w:rPr>
              <w:t>.1</w:t>
            </w:r>
            <w:r>
              <w:rPr>
                <w:rFonts w:ascii="David" w:eastAsia="David" w:hAnsi="David"/>
                <w:b/>
                <w:bCs/>
                <w:rtl/>
              </w:rPr>
              <w:t xml:space="preserve"> </w:t>
            </w:r>
            <w:r>
              <w:rPr>
                <w:rFonts w:ascii="David" w:eastAsia="David" w:hAnsi="David" w:hint="cs"/>
                <w:b/>
                <w:bCs/>
                <w:rtl/>
              </w:rPr>
              <w:t>ועדה</w:t>
            </w:r>
            <w:r w:rsidR="006A61A8">
              <w:rPr>
                <w:rFonts w:ascii="David" w:eastAsia="David" w:hAnsi="David" w:hint="cs"/>
                <w:b/>
                <w:bCs/>
                <w:rtl/>
              </w:rPr>
              <w:t xml:space="preserve"> מחוזית</w:t>
            </w:r>
            <w:r>
              <w:rPr>
                <w:rFonts w:ascii="David" w:eastAsia="David" w:hAnsi="David" w:hint="cs"/>
                <w:b/>
                <w:bCs/>
                <w:rtl/>
              </w:rPr>
              <w:t xml:space="preserve"> לתכנון ו</w:t>
            </w:r>
            <w:r w:rsidR="006A61A8">
              <w:rPr>
                <w:rFonts w:ascii="David" w:eastAsia="David" w:hAnsi="David" w:hint="cs"/>
                <w:b/>
                <w:bCs/>
                <w:rtl/>
              </w:rPr>
              <w:t>ל</w:t>
            </w:r>
            <w:r>
              <w:rPr>
                <w:rFonts w:ascii="David" w:eastAsia="David" w:hAnsi="David" w:hint="cs"/>
                <w:b/>
                <w:bCs/>
                <w:rtl/>
              </w:rPr>
              <w:t xml:space="preserve">בנייה </w:t>
            </w:r>
            <w:r w:rsidR="006A61A8">
              <w:rPr>
                <w:rFonts w:ascii="David" w:eastAsia="David" w:hAnsi="David"/>
                <w:b/>
                <w:bCs/>
                <w:rtl/>
              </w:rPr>
              <w:t>–</w:t>
            </w:r>
            <w:r w:rsidR="006A61A8">
              <w:rPr>
                <w:rFonts w:ascii="David" w:eastAsia="David" w:hAnsi="David" w:hint="cs"/>
                <w:b/>
                <w:bCs/>
                <w:rtl/>
              </w:rPr>
              <w:t xml:space="preserve"> מחוז דרום </w:t>
            </w:r>
            <w:r w:rsidR="006A61A8">
              <w:rPr>
                <w:rFonts w:ascii="David" w:eastAsia="David" w:hAnsi="David"/>
                <w:b/>
                <w:bCs/>
                <w:rtl/>
              </w:rPr>
              <w:t>–</w:t>
            </w:r>
            <w:r w:rsidR="006A61A8">
              <w:rPr>
                <w:rFonts w:ascii="David" w:eastAsia="David" w:hAnsi="David" w:hint="cs"/>
                <w:b/>
                <w:bCs/>
                <w:rtl/>
              </w:rPr>
              <w:t xml:space="preserve"> פמ"ד </w:t>
            </w:r>
          </w:p>
          <w:p w:rsidR="00B90198" w:rsidRDefault="00B90198" w:rsidP="006A61A8">
            <w:pPr>
              <w:suppressLineNumbers/>
              <w:spacing w:line="360" w:lineRule="auto"/>
              <w:rPr>
                <w:rFonts w:ascii="David" w:eastAsia="David" w:hAnsi="David"/>
                <w:b/>
                <w:bCs/>
                <w:rtl/>
              </w:rPr>
            </w:pPr>
            <w:r>
              <w:rPr>
                <w:rFonts w:ascii="David" w:eastAsia="David" w:hAnsi="David"/>
                <w:b/>
                <w:bCs/>
              </w:rPr>
              <w:t>.2</w:t>
            </w:r>
            <w:r>
              <w:rPr>
                <w:rFonts w:ascii="David" w:eastAsia="David" w:hAnsi="David"/>
                <w:b/>
                <w:bCs/>
                <w:rtl/>
              </w:rPr>
              <w:t xml:space="preserve"> </w:t>
            </w:r>
            <w:r>
              <w:rPr>
                <w:rFonts w:ascii="David" w:eastAsia="David" w:hAnsi="David" w:hint="cs"/>
                <w:b/>
                <w:bCs/>
                <w:rtl/>
              </w:rPr>
              <w:t xml:space="preserve">יושב ראש הועדה המחוזית </w:t>
            </w:r>
            <w:r w:rsidR="006A61A8">
              <w:rPr>
                <w:rFonts w:ascii="David" w:eastAsia="David" w:hAnsi="David" w:hint="cs"/>
                <w:b/>
                <w:bCs/>
                <w:rtl/>
              </w:rPr>
              <w:t>לתכנון ו</w:t>
            </w:r>
            <w:r w:rsidR="00D46D4F">
              <w:rPr>
                <w:rFonts w:ascii="David" w:eastAsia="David" w:hAnsi="David" w:hint="cs"/>
                <w:b/>
                <w:bCs/>
                <w:rtl/>
              </w:rPr>
              <w:t>ל</w:t>
            </w:r>
            <w:r w:rsidR="006A61A8">
              <w:rPr>
                <w:rFonts w:ascii="David" w:eastAsia="David" w:hAnsi="David" w:hint="cs"/>
                <w:b/>
                <w:bCs/>
                <w:rtl/>
              </w:rPr>
              <w:t xml:space="preserve">בנייה </w:t>
            </w:r>
            <w:r w:rsidR="006A61A8">
              <w:rPr>
                <w:rFonts w:ascii="David" w:eastAsia="David" w:hAnsi="David"/>
                <w:b/>
                <w:bCs/>
                <w:rtl/>
              </w:rPr>
              <w:t>–</w:t>
            </w:r>
            <w:r w:rsidR="006A61A8">
              <w:rPr>
                <w:rFonts w:ascii="David" w:eastAsia="David" w:hAnsi="David" w:hint="cs"/>
                <w:b/>
                <w:bCs/>
                <w:rtl/>
              </w:rPr>
              <w:t xml:space="preserve">מחוז דרום </w:t>
            </w:r>
            <w:r w:rsidR="006A61A8">
              <w:rPr>
                <w:rFonts w:ascii="David" w:eastAsia="David" w:hAnsi="David"/>
                <w:b/>
                <w:bCs/>
                <w:rtl/>
              </w:rPr>
              <w:t>–</w:t>
            </w:r>
            <w:r w:rsidR="006A61A8">
              <w:rPr>
                <w:rFonts w:ascii="David" w:eastAsia="David" w:hAnsi="David" w:hint="cs"/>
                <w:b/>
                <w:bCs/>
                <w:rtl/>
              </w:rPr>
              <w:t xml:space="preserve"> פמ"ד</w:t>
            </w:r>
          </w:p>
          <w:p w:rsidR="00B90198" w:rsidRDefault="00B90198" w:rsidP="00D46D4F">
            <w:pPr>
              <w:suppressLineNumbers/>
              <w:spacing w:line="360" w:lineRule="auto"/>
              <w:rPr>
                <w:rFonts w:ascii="David" w:eastAsia="David" w:hAnsi="David"/>
                <w:b/>
                <w:bCs/>
                <w:rtl/>
              </w:rPr>
            </w:pPr>
            <w:r>
              <w:rPr>
                <w:rFonts w:ascii="David" w:eastAsia="David" w:hAnsi="David" w:hint="cs"/>
                <w:b/>
                <w:bCs/>
                <w:rtl/>
              </w:rPr>
              <w:t xml:space="preserve">ע"י ב"כ עו"ד דנה סבאג הבר </w:t>
            </w:r>
          </w:p>
          <w:p w:rsidR="00B90198" w:rsidRDefault="00B90198" w:rsidP="006A61A8">
            <w:pPr>
              <w:suppressLineNumbers/>
              <w:spacing w:line="360" w:lineRule="auto"/>
              <w:rPr>
                <w:rFonts w:ascii="David" w:eastAsia="David" w:hAnsi="David"/>
                <w:b/>
                <w:bCs/>
                <w:rtl/>
              </w:rPr>
            </w:pPr>
            <w:r>
              <w:rPr>
                <w:rFonts w:ascii="David" w:eastAsia="David" w:hAnsi="David"/>
                <w:b/>
                <w:bCs/>
              </w:rPr>
              <w:t>.3</w:t>
            </w:r>
            <w:r>
              <w:rPr>
                <w:rFonts w:ascii="David" w:eastAsia="David" w:hAnsi="David"/>
                <w:b/>
                <w:bCs/>
                <w:rtl/>
              </w:rPr>
              <w:t xml:space="preserve"> </w:t>
            </w:r>
            <w:r>
              <w:rPr>
                <w:rFonts w:ascii="David" w:eastAsia="David" w:hAnsi="David" w:hint="cs"/>
                <w:b/>
                <w:bCs/>
                <w:rtl/>
              </w:rPr>
              <w:t>נתיבי ישראל - החב</w:t>
            </w:r>
            <w:r w:rsidR="006A61A8">
              <w:rPr>
                <w:rFonts w:ascii="David" w:eastAsia="David" w:hAnsi="David" w:hint="cs"/>
                <w:b/>
                <w:bCs/>
                <w:rtl/>
              </w:rPr>
              <w:t xml:space="preserve">רה הלאומית לתשתיות תחבורה בע"מ </w:t>
            </w:r>
            <w:r>
              <w:rPr>
                <w:rFonts w:ascii="David" w:eastAsia="David" w:hAnsi="David" w:hint="cs"/>
                <w:b/>
                <w:bCs/>
                <w:rtl/>
              </w:rPr>
              <w:t xml:space="preserve"> </w:t>
            </w:r>
          </w:p>
          <w:p w:rsidR="00B90198" w:rsidRDefault="006A61A8" w:rsidP="006A61A8">
            <w:pPr>
              <w:suppressLineNumbers/>
              <w:spacing w:line="360" w:lineRule="auto"/>
              <w:rPr>
                <w:rFonts w:ascii="David" w:eastAsia="David" w:hAnsi="David"/>
                <w:b/>
                <w:bCs/>
                <w:rtl/>
              </w:rPr>
            </w:pPr>
            <w:r>
              <w:rPr>
                <w:rFonts w:ascii="David" w:eastAsia="David" w:hAnsi="David" w:hint="cs"/>
                <w:b/>
                <w:bCs/>
                <w:rtl/>
              </w:rPr>
              <w:t>ע"י ב"כ עו"ד טלי ענבר-</w:t>
            </w:r>
            <w:r w:rsidR="00B90198">
              <w:rPr>
                <w:rFonts w:ascii="David" w:eastAsia="David" w:hAnsi="David" w:hint="cs"/>
                <w:b/>
                <w:bCs/>
                <w:rtl/>
              </w:rPr>
              <w:t>גולן</w:t>
            </w:r>
          </w:p>
        </w:tc>
      </w:tr>
    </w:tbl>
    <w:p w:rsidR="00B90198" w:rsidRPr="006A61A8" w:rsidRDefault="00B90198" w:rsidP="006A61A8">
      <w:pPr>
        <w:spacing w:line="360" w:lineRule="auto"/>
        <w:rPr>
          <w:rtl/>
        </w:rPr>
      </w:pPr>
    </w:p>
    <w:p w:rsidR="006A61A8" w:rsidRPr="00F309CB" w:rsidRDefault="006A61A8" w:rsidP="00F309CB">
      <w:pPr>
        <w:spacing w:line="360" w:lineRule="auto"/>
        <w:ind w:left="3600"/>
        <w:rPr>
          <w:b/>
          <w:bCs/>
          <w:sz w:val="28"/>
          <w:szCs w:val="28"/>
          <w:u w:val="single"/>
          <w:rtl/>
        </w:rPr>
      </w:pPr>
      <w:r w:rsidRPr="006A61A8">
        <w:rPr>
          <w:rFonts w:hint="cs"/>
          <w:b/>
          <w:bCs/>
          <w:sz w:val="28"/>
          <w:szCs w:val="28"/>
          <w:u w:val="single"/>
          <w:rtl/>
        </w:rPr>
        <w:t xml:space="preserve">פסק דין </w:t>
      </w:r>
    </w:p>
    <w:p w:rsidR="006A61A8" w:rsidRPr="006A61A8" w:rsidRDefault="00FA0375" w:rsidP="00FA0375">
      <w:pPr>
        <w:spacing w:line="360" w:lineRule="auto"/>
        <w:ind w:hanging="624"/>
        <w:rPr>
          <w:b/>
          <w:bCs/>
          <w:u w:val="single"/>
          <w:rtl/>
        </w:rPr>
      </w:pPr>
      <w:r>
        <w:rPr>
          <w:rtl/>
        </w:rPr>
        <w:tab/>
      </w:r>
      <w:r w:rsidR="006A61A8" w:rsidRPr="006A61A8">
        <w:rPr>
          <w:rFonts w:hint="cs"/>
          <w:b/>
          <w:bCs/>
          <w:u w:val="single"/>
          <w:rtl/>
        </w:rPr>
        <w:t>מבוא</w:t>
      </w:r>
    </w:p>
    <w:p w:rsidR="006A61A8" w:rsidRDefault="006A61A8" w:rsidP="00FA0375">
      <w:pPr>
        <w:spacing w:line="360" w:lineRule="auto"/>
        <w:ind w:hanging="624"/>
        <w:jc w:val="both"/>
        <w:rPr>
          <w:rtl/>
        </w:rPr>
      </w:pPr>
      <w:r>
        <w:rPr>
          <w:rFonts w:hint="cs"/>
          <w:rtl/>
        </w:rPr>
        <w:t xml:space="preserve">1. </w:t>
      </w:r>
      <w:r>
        <w:rPr>
          <w:rtl/>
        </w:rPr>
        <w:tab/>
      </w:r>
      <w:r>
        <w:rPr>
          <w:rFonts w:hint="cs"/>
          <w:rtl/>
        </w:rPr>
        <w:t xml:space="preserve">לפניי </w:t>
      </w:r>
      <w:r w:rsidR="00F309CB">
        <w:rPr>
          <w:rFonts w:hint="cs"/>
          <w:rtl/>
        </w:rPr>
        <w:t>עתירה כנגד החלטת</w:t>
      </w:r>
      <w:r w:rsidR="00894766">
        <w:rPr>
          <w:rFonts w:hint="cs"/>
          <w:rtl/>
        </w:rPr>
        <w:t xml:space="preserve"> הו</w:t>
      </w:r>
      <w:r w:rsidR="00F309CB">
        <w:rPr>
          <w:rFonts w:hint="cs"/>
          <w:rtl/>
        </w:rPr>
        <w:t xml:space="preserve">עדה המחוזית לתכנון ובנייה </w:t>
      </w:r>
      <w:r w:rsidR="00F309CB">
        <w:rPr>
          <w:rtl/>
        </w:rPr>
        <w:t>–</w:t>
      </w:r>
      <w:r w:rsidR="00F309CB">
        <w:rPr>
          <w:rFonts w:hint="cs"/>
          <w:rtl/>
        </w:rPr>
        <w:t xml:space="preserve"> מחוז דרום (להלן: "משיבה 1") מיום 26.11.2023 במסגרתה הוחלט לדחות חלקית את התנגדות "פז" </w:t>
      </w:r>
      <w:r w:rsidR="00F309CB">
        <w:rPr>
          <w:rtl/>
        </w:rPr>
        <w:t>–</w:t>
      </w:r>
      <w:r w:rsidR="00F309CB">
        <w:rPr>
          <w:rFonts w:hint="cs"/>
          <w:rtl/>
        </w:rPr>
        <w:t xml:space="preserve"> חברת נפט בע"מ (להלן: "העותרת") לתכנית מספר 633</w:t>
      </w:r>
      <w:r w:rsidR="00F12762">
        <w:rPr>
          <w:rFonts w:hint="cs"/>
          <w:rtl/>
        </w:rPr>
        <w:t>-0796539 דרך מס' 4 עד הלום אשקלון (להלן:</w:t>
      </w:r>
      <w:r w:rsidR="002328C9">
        <w:rPr>
          <w:rFonts w:hint="cs"/>
          <w:rtl/>
        </w:rPr>
        <w:t xml:space="preserve"> "ההחלטה בהתנגדות" ו-</w:t>
      </w:r>
      <w:r w:rsidR="00F12762">
        <w:rPr>
          <w:rFonts w:hint="cs"/>
          <w:rtl/>
        </w:rPr>
        <w:t xml:space="preserve"> "התכנית")</w:t>
      </w:r>
      <w:r w:rsidR="002328C9">
        <w:rPr>
          <w:rFonts w:hint="cs"/>
          <w:rtl/>
        </w:rPr>
        <w:t>, וכנגד</w:t>
      </w:r>
      <w:r w:rsidR="00F12762">
        <w:rPr>
          <w:rFonts w:hint="cs"/>
          <w:rtl/>
        </w:rPr>
        <w:t xml:space="preserve"> החלטת </w:t>
      </w:r>
      <w:r w:rsidR="00894766">
        <w:rPr>
          <w:rFonts w:hint="cs"/>
          <w:rtl/>
        </w:rPr>
        <w:t>יושב ראש הו</w:t>
      </w:r>
      <w:r w:rsidR="00F12762">
        <w:rPr>
          <w:rFonts w:hint="cs"/>
          <w:rtl/>
        </w:rPr>
        <w:t xml:space="preserve">עדה המחוזית לתכנון ובנייה במחוז דרום (להלן: "משיב 2") מיום 04.01.2024, במסגרתה הוחלט לדחות </w:t>
      </w:r>
      <w:r w:rsidR="00C251E0">
        <w:rPr>
          <w:rFonts w:hint="cs"/>
          <w:rtl/>
        </w:rPr>
        <w:t xml:space="preserve">את בקשת העותרת לקבלת רשות להגשת ערר למועצה הארצית על דחיית </w:t>
      </w:r>
      <w:r w:rsidR="00517B97">
        <w:rPr>
          <w:rFonts w:hint="cs"/>
          <w:rtl/>
        </w:rPr>
        <w:t>חלק מהתנגדות העותרת לתכנית (להלן: "ההחלטה בבר"ע")</w:t>
      </w:r>
      <w:r w:rsidR="008640F9">
        <w:rPr>
          <w:rFonts w:hint="cs"/>
          <w:rtl/>
        </w:rPr>
        <w:t>.</w:t>
      </w:r>
      <w:r w:rsidR="00C251E0">
        <w:rPr>
          <w:rFonts w:hint="cs"/>
          <w:rtl/>
        </w:rPr>
        <w:t xml:space="preserve"> </w:t>
      </w:r>
    </w:p>
    <w:p w:rsidR="00C251E0" w:rsidRDefault="00C251E0" w:rsidP="00FA0375">
      <w:pPr>
        <w:spacing w:line="360" w:lineRule="auto"/>
        <w:ind w:hanging="624"/>
        <w:jc w:val="both"/>
        <w:rPr>
          <w:rtl/>
        </w:rPr>
      </w:pPr>
    </w:p>
    <w:p w:rsidR="005226D6" w:rsidRDefault="00C251E0" w:rsidP="00FA0375">
      <w:pPr>
        <w:spacing w:line="360" w:lineRule="auto"/>
        <w:ind w:hanging="624"/>
        <w:jc w:val="both"/>
        <w:rPr>
          <w:rtl/>
        </w:rPr>
      </w:pPr>
      <w:r>
        <w:rPr>
          <w:rtl/>
        </w:rPr>
        <w:tab/>
      </w:r>
      <w:r>
        <w:rPr>
          <w:rFonts w:hint="cs"/>
          <w:rtl/>
        </w:rPr>
        <w:t xml:space="preserve">העותרת עתרה לתקן את ההחלטה </w:t>
      </w:r>
      <w:r w:rsidR="002328C9">
        <w:rPr>
          <w:rFonts w:hint="cs"/>
          <w:rtl/>
        </w:rPr>
        <w:t>בהתנגדות באופ</w:t>
      </w:r>
      <w:r w:rsidR="005226D6">
        <w:rPr>
          <w:rFonts w:hint="cs"/>
          <w:rtl/>
        </w:rPr>
        <w:t>ן הבא:</w:t>
      </w:r>
    </w:p>
    <w:p w:rsidR="005226D6" w:rsidRDefault="00240F43" w:rsidP="005226D6">
      <w:pPr>
        <w:pStyle w:val="ad"/>
        <w:numPr>
          <w:ilvl w:val="0"/>
          <w:numId w:val="3"/>
        </w:numPr>
        <w:spacing w:line="360" w:lineRule="auto"/>
        <w:jc w:val="both"/>
      </w:pPr>
      <w:r>
        <w:rPr>
          <w:rFonts w:hint="cs"/>
          <w:rtl/>
        </w:rPr>
        <w:t xml:space="preserve">לבטל את השימוש "חנות נוחות" כשימוש מותר בתא שטח </w:t>
      </w:r>
      <w:r w:rsidR="00517B97">
        <w:rPr>
          <w:rFonts w:hint="cs"/>
          <w:rtl/>
        </w:rPr>
        <w:t xml:space="preserve">200 </w:t>
      </w:r>
      <w:r w:rsidR="005226D6">
        <w:rPr>
          <w:rFonts w:hint="cs"/>
          <w:rtl/>
        </w:rPr>
        <w:t>שבתכנית.</w:t>
      </w:r>
    </w:p>
    <w:p w:rsidR="005226D6" w:rsidRDefault="00240F43" w:rsidP="005226D6">
      <w:pPr>
        <w:pStyle w:val="ad"/>
        <w:numPr>
          <w:ilvl w:val="0"/>
          <w:numId w:val="3"/>
        </w:numPr>
        <w:spacing w:line="360" w:lineRule="auto"/>
        <w:jc w:val="both"/>
      </w:pPr>
      <w:r>
        <w:rPr>
          <w:rFonts w:hint="cs"/>
          <w:rtl/>
        </w:rPr>
        <w:t xml:space="preserve">לבטל את השימוש "עמדות טעינה חשמליות" </w:t>
      </w:r>
      <w:r w:rsidR="00517B97">
        <w:rPr>
          <w:rFonts w:hint="cs"/>
          <w:rtl/>
        </w:rPr>
        <w:t>כ</w:t>
      </w:r>
      <w:r w:rsidR="005226D6">
        <w:rPr>
          <w:rFonts w:hint="cs"/>
          <w:rtl/>
        </w:rPr>
        <w:t>שימוש מותר בתא שטח 200 שבתכנית.</w:t>
      </w:r>
    </w:p>
    <w:p w:rsidR="005226D6" w:rsidRDefault="00517B97" w:rsidP="005226D6">
      <w:pPr>
        <w:pStyle w:val="ad"/>
        <w:numPr>
          <w:ilvl w:val="0"/>
          <w:numId w:val="3"/>
        </w:numPr>
        <w:spacing w:line="360" w:lineRule="auto"/>
        <w:jc w:val="both"/>
      </w:pPr>
      <w:r>
        <w:rPr>
          <w:rFonts w:hint="cs"/>
          <w:rtl/>
        </w:rPr>
        <w:t>לשנות את ייעודו של תא שטח 200 שבתכנית מיעוד של מרכז תחבורה ליעוד דרך</w:t>
      </w:r>
      <w:r w:rsidR="005226D6">
        <w:rPr>
          <w:rFonts w:hint="cs"/>
          <w:rtl/>
        </w:rPr>
        <w:t xml:space="preserve"> או ליעוד מרכז לתחבורה ציבורית.</w:t>
      </w:r>
    </w:p>
    <w:p w:rsidR="005226D6" w:rsidRDefault="00517B97" w:rsidP="005226D6">
      <w:pPr>
        <w:pStyle w:val="ad"/>
        <w:numPr>
          <w:ilvl w:val="0"/>
          <w:numId w:val="3"/>
        </w:numPr>
        <w:spacing w:line="360" w:lineRule="auto"/>
        <w:jc w:val="both"/>
      </w:pPr>
      <w:r>
        <w:rPr>
          <w:rFonts w:hint="cs"/>
          <w:rtl/>
        </w:rPr>
        <w:t>להחזיר לעותרת את שטח הקרקע של 1.1 דו</w:t>
      </w:r>
      <w:r w:rsidR="001237B7">
        <w:rPr>
          <w:rFonts w:hint="cs"/>
          <w:rtl/>
        </w:rPr>
        <w:t>נם מתוך תא שטח 200 שבתכנית שנגרע</w:t>
      </w:r>
      <w:r>
        <w:rPr>
          <w:rFonts w:hint="cs"/>
          <w:rtl/>
        </w:rPr>
        <w:t xml:space="preserve"> משטח תחנת תדלוק של העותרת ואשר יועד לדרך במסגרת </w:t>
      </w:r>
      <w:r w:rsidR="005226D6">
        <w:rPr>
          <w:rFonts w:hint="cs"/>
          <w:rtl/>
        </w:rPr>
        <w:t>תכנית קודמת וליעדו כתחנת תדלוק.</w:t>
      </w:r>
    </w:p>
    <w:p w:rsidR="00517B97" w:rsidRDefault="00517B97" w:rsidP="005226D6">
      <w:pPr>
        <w:pStyle w:val="ad"/>
        <w:numPr>
          <w:ilvl w:val="0"/>
          <w:numId w:val="3"/>
        </w:numPr>
        <w:spacing w:line="360" w:lineRule="auto"/>
        <w:jc w:val="both"/>
        <w:rPr>
          <w:rtl/>
        </w:rPr>
      </w:pPr>
      <w:r>
        <w:rPr>
          <w:rFonts w:hint="cs"/>
          <w:rtl/>
        </w:rPr>
        <w:t>לחלופין, לבטל את ההחלטה בבר"ע וליתן לעותרת רשות להגשת ערר על ההחלטה בהתנגדות למועצה הארצית לתכנון ו</w:t>
      </w:r>
      <w:r w:rsidR="00482CE9">
        <w:rPr>
          <w:rFonts w:hint="cs"/>
          <w:rtl/>
        </w:rPr>
        <w:t>ל</w:t>
      </w:r>
      <w:r>
        <w:rPr>
          <w:rFonts w:hint="cs"/>
          <w:rtl/>
        </w:rPr>
        <w:t xml:space="preserve">בנייה </w:t>
      </w:r>
      <w:r w:rsidR="00BC2742">
        <w:rPr>
          <w:rFonts w:hint="cs"/>
          <w:rtl/>
        </w:rPr>
        <w:t xml:space="preserve">בהתאם לסעיף 110(א) לחוק התכנון והבנייה, התשכ"ה </w:t>
      </w:r>
      <w:r w:rsidR="00BC2742">
        <w:rPr>
          <w:rtl/>
        </w:rPr>
        <w:t>–</w:t>
      </w:r>
      <w:r w:rsidR="00BC2742">
        <w:rPr>
          <w:rFonts w:hint="cs"/>
          <w:rtl/>
        </w:rPr>
        <w:t xml:space="preserve"> 1965 (להלן: "החוק"). </w:t>
      </w:r>
    </w:p>
    <w:p w:rsidR="008640F9" w:rsidRDefault="008640F9">
      <w:pPr>
        <w:bidi w:val="0"/>
      </w:pPr>
      <w:r>
        <w:rPr>
          <w:rtl/>
        </w:rPr>
        <w:br w:type="page"/>
      </w:r>
    </w:p>
    <w:p w:rsidR="00367C07" w:rsidRPr="00482CE9" w:rsidRDefault="00367C07" w:rsidP="00FA0375">
      <w:pPr>
        <w:spacing w:line="360" w:lineRule="auto"/>
        <w:ind w:hanging="624"/>
        <w:jc w:val="both"/>
        <w:rPr>
          <w:rtl/>
        </w:rPr>
      </w:pPr>
    </w:p>
    <w:p w:rsidR="00367C07" w:rsidRDefault="00367C07" w:rsidP="00FA0375">
      <w:pPr>
        <w:spacing w:line="360" w:lineRule="auto"/>
        <w:ind w:hanging="624"/>
        <w:jc w:val="both"/>
        <w:rPr>
          <w:b/>
          <w:bCs/>
          <w:u w:val="single"/>
          <w:rtl/>
        </w:rPr>
      </w:pPr>
      <w:r>
        <w:rPr>
          <w:rtl/>
        </w:rPr>
        <w:tab/>
      </w:r>
      <w:r>
        <w:rPr>
          <w:rFonts w:hint="cs"/>
          <w:b/>
          <w:bCs/>
          <w:u w:val="single"/>
          <w:rtl/>
        </w:rPr>
        <w:t>רקע עובדתי</w:t>
      </w:r>
    </w:p>
    <w:p w:rsidR="00D905E1" w:rsidRDefault="00367C07" w:rsidP="00FA0375">
      <w:pPr>
        <w:spacing w:line="360" w:lineRule="auto"/>
        <w:ind w:hanging="624"/>
        <w:jc w:val="both"/>
        <w:rPr>
          <w:rtl/>
        </w:rPr>
      </w:pPr>
      <w:r>
        <w:rPr>
          <w:rFonts w:hint="cs"/>
          <w:rtl/>
        </w:rPr>
        <w:t>2.</w:t>
      </w:r>
      <w:r>
        <w:rPr>
          <w:b/>
          <w:bCs/>
          <w:rtl/>
        </w:rPr>
        <w:tab/>
      </w:r>
      <w:r w:rsidR="007B3EB0">
        <w:rPr>
          <w:rFonts w:hint="cs"/>
          <w:rtl/>
        </w:rPr>
        <w:t>ביום 04.04.2022</w:t>
      </w:r>
      <w:r>
        <w:rPr>
          <w:rFonts w:hint="cs"/>
          <w:rtl/>
        </w:rPr>
        <w:t>, לאחר ישיבות</w:t>
      </w:r>
      <w:r w:rsidR="00B02A45">
        <w:rPr>
          <w:rFonts w:hint="cs"/>
          <w:rtl/>
        </w:rPr>
        <w:t xml:space="preserve"> עבודה מקדימות שהתקיימו בלשכת התכנון המחוזית, ה</w:t>
      </w:r>
      <w:r w:rsidR="008640F9">
        <w:rPr>
          <w:rFonts w:hint="cs"/>
          <w:rtl/>
        </w:rPr>
        <w:t>וגשה התכנית על-ידי "נתיבי ישראל</w:t>
      </w:r>
      <w:r w:rsidR="00B02A45">
        <w:rPr>
          <w:rFonts w:hint="cs"/>
          <w:rtl/>
        </w:rPr>
        <w:t xml:space="preserve"> </w:t>
      </w:r>
      <w:r w:rsidR="00B02A45">
        <w:rPr>
          <w:rtl/>
        </w:rPr>
        <w:t>–</w:t>
      </w:r>
      <w:r w:rsidR="00B02A45">
        <w:rPr>
          <w:rFonts w:hint="cs"/>
          <w:rtl/>
        </w:rPr>
        <w:t xml:space="preserve"> החברה הלאומית לתשתיות תחבורה בע"מ</w:t>
      </w:r>
      <w:r w:rsidR="008640F9">
        <w:rPr>
          <w:rFonts w:hint="cs"/>
          <w:rtl/>
        </w:rPr>
        <w:t>"</w:t>
      </w:r>
      <w:r w:rsidR="00B02A45">
        <w:rPr>
          <w:rFonts w:hint="cs"/>
          <w:rtl/>
        </w:rPr>
        <w:t xml:space="preserve"> </w:t>
      </w:r>
      <w:r w:rsidR="00D905E1">
        <w:rPr>
          <w:rFonts w:hint="cs"/>
          <w:rtl/>
        </w:rPr>
        <w:t>(להלן: "המשיבה 3") כיזם התכנית, זאת בהתאם לסעיף 119ב לחוק.</w:t>
      </w:r>
    </w:p>
    <w:p w:rsidR="00D905E1" w:rsidRDefault="00D905E1" w:rsidP="00FA0375">
      <w:pPr>
        <w:spacing w:line="360" w:lineRule="auto"/>
        <w:ind w:hanging="624"/>
        <w:jc w:val="both"/>
        <w:rPr>
          <w:rtl/>
        </w:rPr>
      </w:pPr>
      <w:r>
        <w:rPr>
          <w:rtl/>
        </w:rPr>
        <w:tab/>
      </w:r>
      <w:r w:rsidR="00D12657">
        <w:rPr>
          <w:rFonts w:hint="cs"/>
          <w:rtl/>
        </w:rPr>
        <w:t>בהתאם לדברי ההסב</w:t>
      </w:r>
      <w:r>
        <w:rPr>
          <w:rFonts w:hint="cs"/>
          <w:rtl/>
        </w:rPr>
        <w:t xml:space="preserve">ר לתכנית, כביש 4 עד הלום </w:t>
      </w:r>
      <w:r>
        <w:rPr>
          <w:rtl/>
        </w:rPr>
        <w:t>–</w:t>
      </w:r>
      <w:r>
        <w:rPr>
          <w:rFonts w:hint="cs"/>
          <w:rtl/>
        </w:rPr>
        <w:t xml:space="preserve"> אשקלון משמש ציר אורך מרכזי המקשר את העיר אשקלון </w:t>
      </w:r>
      <w:r w:rsidR="004552F8">
        <w:rPr>
          <w:rFonts w:hint="cs"/>
          <w:rtl/>
        </w:rPr>
        <w:t>ושאר הישובים בסביבתה אל אשדוד וצפונה אל מרכז הארץ. הפרויקט כולל הרחבת הכביש לתצורה של נתיב תחבורה ציבורית ושלושה נתיבים נוספים וכן מחלוף צמתים לאורך הכביש.</w:t>
      </w:r>
    </w:p>
    <w:p w:rsidR="001C216E" w:rsidRDefault="004552F8" w:rsidP="00FA0375">
      <w:pPr>
        <w:spacing w:line="360" w:lineRule="auto"/>
        <w:ind w:hanging="624"/>
        <w:jc w:val="both"/>
        <w:rPr>
          <w:rtl/>
        </w:rPr>
      </w:pPr>
      <w:r>
        <w:rPr>
          <w:rtl/>
        </w:rPr>
        <w:tab/>
      </w:r>
      <w:r>
        <w:rPr>
          <w:rFonts w:hint="cs"/>
          <w:rtl/>
        </w:rPr>
        <w:t>צוין, שבתכנית הוכן תשריט דרך, נבחנו חל</w:t>
      </w:r>
      <w:r w:rsidR="00FA0375">
        <w:rPr>
          <w:rFonts w:hint="cs"/>
          <w:rtl/>
        </w:rPr>
        <w:t>ו</w:t>
      </w:r>
      <w:r>
        <w:rPr>
          <w:rFonts w:hint="cs"/>
          <w:rtl/>
        </w:rPr>
        <w:t xml:space="preserve">פות לתיקון ושיפור התוואי ומחלוף צמתים והוכן תסקיר השפעה על הסביבה שבחן את ההשלכות הסביבתיות של החלופה הנבחרת, שבעיקרה מציעה שדרוג תוואי </w:t>
      </w:r>
      <w:r w:rsidR="00E83C04">
        <w:rPr>
          <w:rFonts w:hint="cs"/>
          <w:rtl/>
        </w:rPr>
        <w:t xml:space="preserve">והוספת שלושה מחלפים בצומת אמונים, צומת אשכולות וצומת מנחם בגין. </w:t>
      </w:r>
    </w:p>
    <w:p w:rsidR="007B3EB0" w:rsidRDefault="00FA0375" w:rsidP="00FA0375">
      <w:pPr>
        <w:spacing w:line="360" w:lineRule="auto"/>
        <w:ind w:hanging="624"/>
        <w:jc w:val="both"/>
        <w:rPr>
          <w:rtl/>
        </w:rPr>
      </w:pPr>
      <w:r>
        <w:rPr>
          <w:rtl/>
        </w:rPr>
        <w:tab/>
      </w:r>
      <w:r w:rsidR="00E83C04">
        <w:rPr>
          <w:rFonts w:hint="cs"/>
          <w:rtl/>
        </w:rPr>
        <w:t>בתכנית קיימת הצעה להרחבת הדר</w:t>
      </w:r>
      <w:r w:rsidR="00B42505">
        <w:rPr>
          <w:rFonts w:hint="cs"/>
          <w:rtl/>
        </w:rPr>
        <w:t>ך הקיימת לדרך דו</w:t>
      </w:r>
      <w:r w:rsidR="00B42505">
        <w:rPr>
          <w:rtl/>
        </w:rPr>
        <w:t>–</w:t>
      </w:r>
      <w:r w:rsidR="00B42505">
        <w:rPr>
          <w:rFonts w:hint="cs"/>
          <w:rtl/>
        </w:rPr>
        <w:t>מסלולית בעלת ארבעה נתיבים. עוד צוין, כי התכנית היא מוטת תחבורה ציבורית הכוללת נתיבים ייעודיים</w:t>
      </w:r>
      <w:r w:rsidR="001C216E">
        <w:rPr>
          <w:rFonts w:hint="cs"/>
          <w:rtl/>
        </w:rPr>
        <w:t xml:space="preserve">, </w:t>
      </w:r>
      <w:r w:rsidR="00B42505">
        <w:rPr>
          <w:rFonts w:hint="cs"/>
          <w:rtl/>
        </w:rPr>
        <w:t>נותנת מענה לתנועת הולכי רגל, רוכבי אופניים באמצעות שבילים וגשרים ייעודיים, מציעה מעבר אקולוגי עילי לחיבור מ</w:t>
      </w:r>
      <w:r w:rsidR="008640F9">
        <w:rPr>
          <w:rFonts w:hint="cs"/>
          <w:rtl/>
        </w:rPr>
        <w:t>ס</w:t>
      </w:r>
      <w:r w:rsidR="00B42505">
        <w:rPr>
          <w:rFonts w:hint="cs"/>
          <w:rtl/>
        </w:rPr>
        <w:t xml:space="preserve">דרונות אקולוגיים ושביל אופוניים אשר יחבר בין שני מרכזי התעסוקה הגדולים במרחב </w:t>
      </w:r>
      <w:r w:rsidR="00B42505">
        <w:rPr>
          <w:rtl/>
        </w:rPr>
        <w:t>–</w:t>
      </w:r>
      <w:r w:rsidR="00B42505">
        <w:rPr>
          <w:rFonts w:hint="cs"/>
          <w:rtl/>
        </w:rPr>
        <w:t xml:space="preserve"> אשדוד </w:t>
      </w:r>
      <w:r w:rsidR="007B3EB0">
        <w:rPr>
          <w:rFonts w:hint="cs"/>
          <w:rtl/>
        </w:rPr>
        <w:t>ואשקלון, ו</w:t>
      </w:r>
      <w:r w:rsidR="00B42505">
        <w:rPr>
          <w:rFonts w:hint="cs"/>
          <w:rtl/>
        </w:rPr>
        <w:t xml:space="preserve">תאפשר הגדלת קיבולת ובטיחות הדרך לכלל משתמשי הדרך. </w:t>
      </w:r>
    </w:p>
    <w:p w:rsidR="007B3EB0" w:rsidRDefault="00FA0375" w:rsidP="00FA0375">
      <w:pPr>
        <w:spacing w:line="360" w:lineRule="auto"/>
        <w:ind w:hanging="624"/>
        <w:jc w:val="both"/>
        <w:rPr>
          <w:rtl/>
        </w:rPr>
      </w:pPr>
      <w:r>
        <w:rPr>
          <w:rtl/>
        </w:rPr>
        <w:tab/>
      </w:r>
      <w:r w:rsidR="007B3EB0">
        <w:rPr>
          <w:rFonts w:hint="cs"/>
          <w:rtl/>
        </w:rPr>
        <w:t xml:space="preserve">כפי שנמסר, הליך התכנון כלל ישיבות עבודה מרובות עם בעלי מקצוע מתחומים שונים, בדיקה של מסמכים ומספר דיונים סטטוטוריים </w:t>
      </w:r>
      <w:r w:rsidR="004F4616">
        <w:rPr>
          <w:rFonts w:hint="cs"/>
          <w:rtl/>
        </w:rPr>
        <w:t>בועדה המחוזית (ראו נספח 1 לכתב התשובה של משיבים 1 ו-2).</w:t>
      </w:r>
    </w:p>
    <w:p w:rsidR="007B3EB0" w:rsidRDefault="007B3EB0" w:rsidP="00FA0375">
      <w:pPr>
        <w:spacing w:line="360" w:lineRule="auto"/>
        <w:ind w:hanging="624"/>
        <w:jc w:val="both"/>
        <w:rPr>
          <w:rtl/>
        </w:rPr>
      </w:pPr>
    </w:p>
    <w:p w:rsidR="007B3EB0" w:rsidRDefault="007B3EB0" w:rsidP="00FA0375">
      <w:pPr>
        <w:spacing w:line="360" w:lineRule="auto"/>
        <w:ind w:hanging="624"/>
        <w:jc w:val="both"/>
        <w:rPr>
          <w:rtl/>
        </w:rPr>
      </w:pPr>
      <w:r>
        <w:rPr>
          <w:rFonts w:hint="cs"/>
          <w:rtl/>
        </w:rPr>
        <w:t xml:space="preserve">3. </w:t>
      </w:r>
      <w:r>
        <w:rPr>
          <w:rtl/>
        </w:rPr>
        <w:tab/>
      </w:r>
      <w:r>
        <w:rPr>
          <w:rFonts w:hint="cs"/>
          <w:rtl/>
        </w:rPr>
        <w:t>ביום 0</w:t>
      </w:r>
      <w:r w:rsidR="00566FEF">
        <w:rPr>
          <w:rFonts w:hint="cs"/>
          <w:rtl/>
        </w:rPr>
        <w:t>9.01.2023 דנה משיבה 1 בתכנית והיא החליטה להפקידה בתנאים אשר כללו בין היתר תיקון של מסמכי התכנית לעניין תא שטח 88, ששמו שונה בהמשך לתא שטח 200, באופן שייעוד הקרקע יהיה מרכז תחבורה והיקף הזכויות יעמוד בו על 250 מ"ר לתשתיות תפעוליות עבור תחבורה ציבורית. עוד צוין, שמדובר בשטח כלוא שככל הנראה יכולה להיות בו תועלת</w:t>
      </w:r>
      <w:r w:rsidR="00EB1074">
        <w:rPr>
          <w:rFonts w:hint="cs"/>
          <w:rtl/>
        </w:rPr>
        <w:t xml:space="preserve"> למשתמשי הדרך והתחבורה הציבורית, </w:t>
      </w:r>
      <w:r w:rsidR="00566FEF">
        <w:rPr>
          <w:rFonts w:hint="cs"/>
          <w:rtl/>
        </w:rPr>
        <w:t>ונראה שנדרש עדיין לגבש את המתווה לגבי השימוש המיטבי בתא שטח זה בהתייחס לכלל התכניות לתחבורה ציבורית (ראו נספח 2 לכתב התשובה של משיבים 1 ו-2)</w:t>
      </w:r>
      <w:r w:rsidR="001B095C">
        <w:rPr>
          <w:rFonts w:hint="cs"/>
          <w:rtl/>
        </w:rPr>
        <w:t xml:space="preserve">. </w:t>
      </w:r>
    </w:p>
    <w:p w:rsidR="001B095C" w:rsidRDefault="001B095C" w:rsidP="00FA0375">
      <w:pPr>
        <w:spacing w:line="360" w:lineRule="auto"/>
        <w:ind w:hanging="624"/>
        <w:jc w:val="both"/>
        <w:rPr>
          <w:rtl/>
        </w:rPr>
      </w:pPr>
    </w:p>
    <w:p w:rsidR="001B095C" w:rsidRDefault="001B095C" w:rsidP="00FA0375">
      <w:pPr>
        <w:spacing w:line="360" w:lineRule="auto"/>
        <w:ind w:hanging="624"/>
        <w:jc w:val="both"/>
        <w:rPr>
          <w:rtl/>
        </w:rPr>
      </w:pPr>
      <w:r>
        <w:rPr>
          <w:rFonts w:hint="cs"/>
          <w:rtl/>
        </w:rPr>
        <w:t>4.</w:t>
      </w:r>
      <w:r>
        <w:rPr>
          <w:rFonts w:hint="cs"/>
          <w:rtl/>
        </w:rPr>
        <w:tab/>
        <w:t>בשל אופיה, נדונה התכנית בועדה לנושאים תכנוניים עיקרוניים (ולנת"ע)</w:t>
      </w:r>
      <w:r w:rsidR="00EB1074">
        <w:rPr>
          <w:rFonts w:hint="cs"/>
          <w:rtl/>
        </w:rPr>
        <w:t xml:space="preserve"> שהיא ועדת משנה של הו</w:t>
      </w:r>
      <w:r>
        <w:rPr>
          <w:rFonts w:hint="cs"/>
          <w:rtl/>
        </w:rPr>
        <w:t>עדה הארצית לתכנון ו</w:t>
      </w:r>
      <w:r w:rsidR="00482CE9">
        <w:rPr>
          <w:rFonts w:hint="cs"/>
          <w:rtl/>
        </w:rPr>
        <w:t>ל</w:t>
      </w:r>
      <w:r>
        <w:rPr>
          <w:rFonts w:hint="cs"/>
          <w:rtl/>
        </w:rPr>
        <w:t>בנייה</w:t>
      </w:r>
      <w:r w:rsidR="00EB1074">
        <w:rPr>
          <w:rFonts w:hint="cs"/>
          <w:rtl/>
        </w:rPr>
        <w:t>.</w:t>
      </w:r>
      <w:r>
        <w:rPr>
          <w:rFonts w:hint="cs"/>
          <w:rtl/>
        </w:rPr>
        <w:t xml:space="preserve"> </w:t>
      </w:r>
      <w:r w:rsidR="00EB1074">
        <w:rPr>
          <w:rFonts w:hint="cs"/>
          <w:rtl/>
        </w:rPr>
        <w:t xml:space="preserve">ועדת המשנה קבעה </w:t>
      </w:r>
      <w:r>
        <w:rPr>
          <w:rFonts w:hint="cs"/>
          <w:rtl/>
        </w:rPr>
        <w:t xml:space="preserve">כי היא מחליטה לאשר את התכנית וכן שהיא סבורה ש"מדובר בתכנית משמעותית שהיא חלק מפתרון תחבורתי מערכתי לשדרוג דרך ראשית מס' 4" (ראו נספח 4 בכתב התשובה של משיבים 1 ו-2). </w:t>
      </w:r>
    </w:p>
    <w:p w:rsidR="00184C22" w:rsidRDefault="00184C22" w:rsidP="00FA0375">
      <w:pPr>
        <w:spacing w:line="360" w:lineRule="auto"/>
        <w:ind w:hanging="624"/>
        <w:jc w:val="both"/>
        <w:rPr>
          <w:rtl/>
        </w:rPr>
      </w:pPr>
    </w:p>
    <w:p w:rsidR="00D235A2" w:rsidRDefault="00482CE9" w:rsidP="00FA0375">
      <w:pPr>
        <w:spacing w:line="360" w:lineRule="auto"/>
        <w:ind w:hanging="624"/>
        <w:jc w:val="both"/>
        <w:rPr>
          <w:rtl/>
        </w:rPr>
      </w:pPr>
      <w:r>
        <w:rPr>
          <w:rFonts w:hint="cs"/>
          <w:rtl/>
        </w:rPr>
        <w:t>5</w:t>
      </w:r>
      <w:r w:rsidR="00D235A2">
        <w:rPr>
          <w:rFonts w:hint="cs"/>
          <w:rtl/>
        </w:rPr>
        <w:t>.</w:t>
      </w:r>
      <w:r w:rsidR="00D235A2">
        <w:rPr>
          <w:rFonts w:hint="cs"/>
          <w:rtl/>
        </w:rPr>
        <w:tab/>
        <w:t>ביום 22.</w:t>
      </w:r>
      <w:r w:rsidR="003520EE">
        <w:rPr>
          <w:rFonts w:hint="cs"/>
          <w:rtl/>
        </w:rPr>
        <w:t>06.2023 התקבלה התכנית להפקדה (ראו נספח 5 לכתב העתירה).</w:t>
      </w:r>
    </w:p>
    <w:p w:rsidR="00D235A2" w:rsidRDefault="00D235A2" w:rsidP="00EB1074">
      <w:pPr>
        <w:spacing w:line="360" w:lineRule="auto"/>
        <w:ind w:hanging="765"/>
        <w:jc w:val="both"/>
        <w:rPr>
          <w:rtl/>
        </w:rPr>
      </w:pPr>
    </w:p>
    <w:p w:rsidR="00184C22" w:rsidRDefault="00482CE9" w:rsidP="00FA0375">
      <w:pPr>
        <w:spacing w:line="360" w:lineRule="auto"/>
        <w:ind w:hanging="624"/>
        <w:jc w:val="both"/>
        <w:rPr>
          <w:rtl/>
        </w:rPr>
      </w:pPr>
      <w:r>
        <w:rPr>
          <w:rFonts w:hint="cs"/>
          <w:rtl/>
        </w:rPr>
        <w:lastRenderedPageBreak/>
        <w:t>6</w:t>
      </w:r>
      <w:r w:rsidR="00184C22">
        <w:rPr>
          <w:rFonts w:hint="cs"/>
          <w:rtl/>
        </w:rPr>
        <w:t>.</w:t>
      </w:r>
      <w:r w:rsidR="00184C22">
        <w:rPr>
          <w:rFonts w:hint="cs"/>
          <w:rtl/>
        </w:rPr>
        <w:tab/>
      </w:r>
      <w:r w:rsidR="00822DF5">
        <w:rPr>
          <w:rFonts w:hint="cs"/>
          <w:rtl/>
        </w:rPr>
        <w:t>במהלך חודש יוני 2023</w:t>
      </w:r>
      <w:r w:rsidR="00184C22">
        <w:rPr>
          <w:rFonts w:hint="cs"/>
          <w:rtl/>
        </w:rPr>
        <w:t xml:space="preserve"> פורסמה </w:t>
      </w:r>
      <w:r w:rsidR="00822DF5">
        <w:rPr>
          <w:rFonts w:hint="cs"/>
          <w:rtl/>
        </w:rPr>
        <w:t>ה</w:t>
      </w:r>
      <w:r w:rsidR="00184C22">
        <w:rPr>
          <w:rFonts w:hint="cs"/>
          <w:rtl/>
        </w:rPr>
        <w:t>תכנית להתנגדויות הציבור, ולתכנ</w:t>
      </w:r>
      <w:r w:rsidR="002B0A83">
        <w:rPr>
          <w:rFonts w:hint="cs"/>
          <w:rtl/>
        </w:rPr>
        <w:t>ית התקבלו מספר התנגדויות, ביניהן</w:t>
      </w:r>
      <w:r w:rsidR="00184C22">
        <w:rPr>
          <w:rFonts w:hint="cs"/>
          <w:rtl/>
        </w:rPr>
        <w:t xml:space="preserve"> של העותרת. </w:t>
      </w:r>
    </w:p>
    <w:p w:rsidR="00184C22" w:rsidRDefault="00FA0375" w:rsidP="00FA0375">
      <w:pPr>
        <w:spacing w:line="360" w:lineRule="auto"/>
        <w:ind w:hanging="624"/>
        <w:jc w:val="both"/>
        <w:rPr>
          <w:rtl/>
        </w:rPr>
      </w:pPr>
      <w:r>
        <w:rPr>
          <w:rtl/>
        </w:rPr>
        <w:tab/>
      </w:r>
      <w:r w:rsidR="00184C22">
        <w:rPr>
          <w:rFonts w:hint="cs"/>
          <w:rtl/>
        </w:rPr>
        <w:t xml:space="preserve">העותרת טענה בהתנגדות כי יש לבטל את הפקדת התכנית ולהפקידה מחדש באופן שמסמכי התכנית המופקדים </w:t>
      </w:r>
      <w:r w:rsidR="00515EA3">
        <w:rPr>
          <w:rFonts w:hint="cs"/>
          <w:rtl/>
        </w:rPr>
        <w:t xml:space="preserve">יהיו בהתאמה להחלטת ההפקדה; כי יש לבטל את תא שטח 200 כמרכז תחבורה ולהשיב לעותרת חלק </w:t>
      </w:r>
      <w:r w:rsidR="002B0A83">
        <w:rPr>
          <w:rFonts w:hint="cs"/>
          <w:rtl/>
        </w:rPr>
        <w:t>מתא השטח שהופקע</w:t>
      </w:r>
      <w:r w:rsidR="00515EA3">
        <w:rPr>
          <w:rFonts w:hint="cs"/>
          <w:rtl/>
        </w:rPr>
        <w:t xml:space="preserve"> ממנה בעבר </w:t>
      </w:r>
      <w:r w:rsidR="002B0A83">
        <w:rPr>
          <w:rFonts w:hint="cs"/>
          <w:rtl/>
        </w:rPr>
        <w:t xml:space="preserve">על-ידי </w:t>
      </w:r>
      <w:r w:rsidR="00515EA3">
        <w:rPr>
          <w:rFonts w:hint="cs"/>
          <w:rtl/>
        </w:rPr>
        <w:t xml:space="preserve">משיבה 3; כי יש לבטל את הליך קידום התכנית כתכנית דרך </w:t>
      </w:r>
      <w:r w:rsidR="00A06E43">
        <w:rPr>
          <w:rFonts w:hint="cs"/>
          <w:rtl/>
        </w:rPr>
        <w:t>משום שתכנית דרך לא יכולה לקבוע יעודים מעבר ל</w:t>
      </w:r>
      <w:r w:rsidR="00515EA3">
        <w:rPr>
          <w:rFonts w:hint="cs"/>
          <w:rtl/>
        </w:rPr>
        <w:t xml:space="preserve">יעוד של דרך </w:t>
      </w:r>
    </w:p>
    <w:p w:rsidR="00D235A2" w:rsidRDefault="001B095C" w:rsidP="00FA0375">
      <w:pPr>
        <w:spacing w:line="360" w:lineRule="auto"/>
        <w:ind w:hanging="624"/>
        <w:jc w:val="both"/>
        <w:rPr>
          <w:rtl/>
        </w:rPr>
      </w:pPr>
      <w:r>
        <w:rPr>
          <w:rtl/>
        </w:rPr>
        <w:tab/>
      </w:r>
      <w:r w:rsidR="00515EA3">
        <w:rPr>
          <w:rFonts w:hint="cs"/>
          <w:rtl/>
        </w:rPr>
        <w:t xml:space="preserve">ולחלופין, לבטל את ההפקדה ולהגישה מחדש למוסדות התכנון כתכנית רגילה; </w:t>
      </w:r>
      <w:r w:rsidR="00D22F4A">
        <w:rPr>
          <w:rFonts w:hint="cs"/>
          <w:rtl/>
        </w:rPr>
        <w:t xml:space="preserve">לבטל את השימוש לחנות נוחות בתא שטח 200; וכן </w:t>
      </w:r>
      <w:r w:rsidR="00D235A2">
        <w:rPr>
          <w:rFonts w:hint="cs"/>
          <w:rtl/>
        </w:rPr>
        <w:t xml:space="preserve">לקבוע </w:t>
      </w:r>
      <w:r w:rsidR="00D22F4A">
        <w:rPr>
          <w:rFonts w:hint="cs"/>
          <w:rtl/>
        </w:rPr>
        <w:t xml:space="preserve">שמשיבה 3 אינה מוסמכת לתפעל ולנהל חנויות נוחות, </w:t>
      </w:r>
      <w:r w:rsidR="00D235A2">
        <w:rPr>
          <w:rFonts w:hint="cs"/>
          <w:rtl/>
        </w:rPr>
        <w:t xml:space="preserve">בין היתר בשל תחרות בלתי הוגנת ופגיעה שתיגרם לעותרת בשל כך. (ראו נספח 8 לכתב העתירה). </w:t>
      </w:r>
    </w:p>
    <w:p w:rsidR="00D235A2" w:rsidRDefault="00D235A2" w:rsidP="00FA0375">
      <w:pPr>
        <w:spacing w:line="360" w:lineRule="auto"/>
        <w:ind w:hanging="624"/>
        <w:jc w:val="both"/>
        <w:rPr>
          <w:rtl/>
        </w:rPr>
      </w:pPr>
    </w:p>
    <w:p w:rsidR="00435AEF" w:rsidRDefault="00482CE9" w:rsidP="00FA0375">
      <w:pPr>
        <w:spacing w:line="360" w:lineRule="auto"/>
        <w:ind w:hanging="624"/>
        <w:jc w:val="both"/>
        <w:rPr>
          <w:rtl/>
        </w:rPr>
      </w:pPr>
      <w:r>
        <w:rPr>
          <w:rFonts w:hint="cs"/>
          <w:rtl/>
        </w:rPr>
        <w:t>7</w:t>
      </w:r>
      <w:r w:rsidR="00D235A2">
        <w:rPr>
          <w:rFonts w:hint="cs"/>
          <w:rtl/>
        </w:rPr>
        <w:t>.</w:t>
      </w:r>
      <w:r w:rsidR="00D235A2">
        <w:rPr>
          <w:rFonts w:hint="cs"/>
          <w:rtl/>
        </w:rPr>
        <w:tab/>
      </w:r>
      <w:r w:rsidR="006F37EF">
        <w:rPr>
          <w:rFonts w:hint="cs"/>
          <w:rtl/>
        </w:rPr>
        <w:t xml:space="preserve">ביום 26.11.2023 ועדת המשנה להתגדויות דנה בתכנית והחליטה לאשרה. </w:t>
      </w:r>
    </w:p>
    <w:p w:rsidR="00D235A2" w:rsidRDefault="006C16E6" w:rsidP="00FA0375">
      <w:pPr>
        <w:spacing w:line="360" w:lineRule="auto"/>
        <w:ind w:hanging="624"/>
        <w:jc w:val="both"/>
        <w:rPr>
          <w:rtl/>
        </w:rPr>
      </w:pPr>
      <w:r>
        <w:rPr>
          <w:rtl/>
        </w:rPr>
        <w:tab/>
      </w:r>
      <w:r w:rsidR="00435AEF">
        <w:rPr>
          <w:rFonts w:hint="cs"/>
          <w:rtl/>
        </w:rPr>
        <w:t xml:space="preserve">בהחלטה בהתנגדות הוחלט לקבל חלק מהתנגדות העותרת ולדחות את חלקה האחר. </w:t>
      </w:r>
      <w:r w:rsidR="006F37EF">
        <w:rPr>
          <w:rFonts w:hint="cs"/>
          <w:rtl/>
        </w:rPr>
        <w:t xml:space="preserve">הועדה דחתה את טענת העותרת לעניין כך שיש לבטל את תא שטח 200 בתכנית </w:t>
      </w:r>
      <w:r w:rsidR="007033A0">
        <w:rPr>
          <w:rFonts w:hint="cs"/>
          <w:rtl/>
        </w:rPr>
        <w:t>ו</w:t>
      </w:r>
      <w:r w:rsidR="006F37EF">
        <w:rPr>
          <w:rFonts w:hint="cs"/>
          <w:rtl/>
        </w:rPr>
        <w:t xml:space="preserve">את הטענה שיש לפצל את תא שטח זה ולהשיב לעותרת חלק </w:t>
      </w:r>
      <w:r w:rsidR="00515834">
        <w:rPr>
          <w:rFonts w:hint="cs"/>
          <w:rtl/>
        </w:rPr>
        <w:t>ממנו.</w:t>
      </w:r>
      <w:r w:rsidR="006F37EF">
        <w:rPr>
          <w:rFonts w:hint="cs"/>
          <w:rtl/>
        </w:rPr>
        <w:t xml:space="preserve"> </w:t>
      </w:r>
      <w:r w:rsidR="00435AEF">
        <w:rPr>
          <w:rFonts w:hint="cs"/>
          <w:rtl/>
        </w:rPr>
        <w:t>הועדה ציינה כי "</w:t>
      </w:r>
      <w:r w:rsidR="00435AEF" w:rsidRPr="00F770C7">
        <w:rPr>
          <w:rFonts w:hint="cs"/>
          <w:b/>
          <w:bCs/>
          <w:rtl/>
        </w:rPr>
        <w:t xml:space="preserve">הקצאת שטח עבור השימושים המופיעים בהוראות התכנית חיונית לתפקוד תקין </w:t>
      </w:r>
      <w:r w:rsidR="00515834" w:rsidRPr="00F770C7">
        <w:rPr>
          <w:rFonts w:hint="cs"/>
          <w:b/>
          <w:bCs/>
          <w:rtl/>
        </w:rPr>
        <w:t xml:space="preserve">של התחבורה הציבורית. </w:t>
      </w:r>
      <w:r w:rsidR="00AA119E" w:rsidRPr="00F770C7">
        <w:rPr>
          <w:rFonts w:hint="cs"/>
          <w:b/>
          <w:bCs/>
          <w:rtl/>
        </w:rPr>
        <w:t>היקף זכויות הבנייה בשטח זה תואם להנחיות משרד התחבורה שהינו הגורם המקצועי המנחה בעניינים אלה. שטח זה מהווה פתרון עתידי לצרכים תחבורתיים... בהיבט התכנוני מדובר בשטח כלוא שמתבקש להתיר בו את השימושים המבוקשים. הועדה מציינת כי שטח מרכז התחבורה יופקע גם הוא ע"</w:t>
      </w:r>
      <w:r w:rsidR="00515834" w:rsidRPr="00F770C7">
        <w:rPr>
          <w:rFonts w:hint="cs"/>
          <w:b/>
          <w:bCs/>
          <w:rtl/>
        </w:rPr>
        <w:t>י חברת נת</w:t>
      </w:r>
      <w:r w:rsidR="00AA119E" w:rsidRPr="00F770C7">
        <w:rPr>
          <w:rFonts w:hint="cs"/>
          <w:b/>
          <w:bCs/>
          <w:rtl/>
        </w:rPr>
        <w:t>"י... הועדה דנה בנושאי תכנון ואינה מוסמכת לדון ולהחליט בנושאים אחרים לרבות הסכמים מסחריים</w:t>
      </w:r>
      <w:r w:rsidR="00AA119E">
        <w:rPr>
          <w:rFonts w:hint="cs"/>
          <w:rtl/>
        </w:rPr>
        <w:t>"</w:t>
      </w:r>
      <w:r w:rsidR="007033A0">
        <w:rPr>
          <w:rFonts w:hint="cs"/>
          <w:rtl/>
        </w:rPr>
        <w:t>.</w:t>
      </w:r>
    </w:p>
    <w:p w:rsidR="00B83EEF" w:rsidRDefault="00B83EEF" w:rsidP="00FA0375">
      <w:pPr>
        <w:spacing w:line="360" w:lineRule="auto"/>
        <w:ind w:hanging="624"/>
        <w:jc w:val="both"/>
        <w:rPr>
          <w:rtl/>
        </w:rPr>
      </w:pPr>
    </w:p>
    <w:p w:rsidR="00515834" w:rsidRDefault="006C16E6" w:rsidP="006C16E6">
      <w:pPr>
        <w:spacing w:line="360" w:lineRule="auto"/>
        <w:ind w:hanging="624"/>
        <w:jc w:val="both"/>
        <w:rPr>
          <w:rtl/>
        </w:rPr>
      </w:pPr>
      <w:r>
        <w:rPr>
          <w:rtl/>
        </w:rPr>
        <w:tab/>
      </w:r>
      <w:r w:rsidR="00515834">
        <w:rPr>
          <w:rFonts w:hint="cs"/>
          <w:rtl/>
        </w:rPr>
        <w:t>הועדה החל</w:t>
      </w:r>
      <w:r w:rsidR="002D5018">
        <w:rPr>
          <w:rFonts w:hint="cs"/>
          <w:rtl/>
        </w:rPr>
        <w:t>יטה לדחות גם את הטענות הקשורות בייעוד של תא שטח 200 כמרכז תחבורה, לרבות השימושים בו כגון חנות נוחות ועמדות טעינה חשמלית, וכפועל יוצא גם לדחות את הטענה שיש צורך לבטל את ההפקדה או להגישה מחדש במסלול רגיל ולא כתכנית דרך. הועדה ציינה כי "</w:t>
      </w:r>
      <w:r w:rsidR="00B83EEF" w:rsidRPr="00B83EEF">
        <w:rPr>
          <w:rFonts w:hint="cs"/>
          <w:b/>
          <w:bCs/>
          <w:rtl/>
        </w:rPr>
        <w:t>המהות התכנונית המוצעת בתא שטח 200 נכונה וצריכה להיות חלק אינטגרלי מהתכנית. זאת ועוד 'תכנית דרך' יכולה לכלול ייעוד 'מרכז תחבורה' אשר משמשת את משתמשי הדרך באופי שאושר בתכנית זו. מדובר במרכז אשר יש בו עמדות טעינה חשמלית, חניון אוטובוסים, חדרי מנוחה ונוחיות לנהגים וכיוצ"ב</w:t>
      </w:r>
      <w:r w:rsidR="00B83EEF">
        <w:rPr>
          <w:rFonts w:hint="cs"/>
          <w:rtl/>
        </w:rPr>
        <w:t xml:space="preserve">". </w:t>
      </w:r>
    </w:p>
    <w:p w:rsidR="00367C07" w:rsidRDefault="006C16E6" w:rsidP="006C16E6">
      <w:pPr>
        <w:spacing w:line="360" w:lineRule="auto"/>
        <w:ind w:hanging="624"/>
        <w:jc w:val="both"/>
        <w:rPr>
          <w:rtl/>
        </w:rPr>
      </w:pPr>
      <w:r>
        <w:rPr>
          <w:rtl/>
        </w:rPr>
        <w:tab/>
      </w:r>
      <w:r w:rsidR="00B83EEF">
        <w:rPr>
          <w:rFonts w:hint="cs"/>
          <w:rtl/>
        </w:rPr>
        <w:t xml:space="preserve">הועדה הוסיפה כי על אף </w:t>
      </w:r>
      <w:r w:rsidR="00B83EEF" w:rsidRPr="00B83EEF">
        <w:rPr>
          <w:rFonts w:hint="cs"/>
          <w:rtl/>
        </w:rPr>
        <w:t xml:space="preserve">שניתן לקדם במסגרת תכנית דרך </w:t>
      </w:r>
      <w:r w:rsidR="00B83EEF">
        <w:rPr>
          <w:rFonts w:hint="cs"/>
          <w:rtl/>
        </w:rPr>
        <w:t xml:space="preserve">מרכז תחבורה במאפיינים שפורטו, היא החליטה </w:t>
      </w:r>
      <w:r w:rsidR="00A02DB9">
        <w:rPr>
          <w:rFonts w:hint="cs"/>
          <w:rtl/>
        </w:rPr>
        <w:t xml:space="preserve">לשנות את </w:t>
      </w:r>
      <w:r w:rsidR="00B83EEF">
        <w:rPr>
          <w:rFonts w:hint="cs"/>
          <w:rtl/>
        </w:rPr>
        <w:t>ס</w:t>
      </w:r>
      <w:r>
        <w:rPr>
          <w:rFonts w:hint="cs"/>
          <w:rtl/>
        </w:rPr>
        <w:t>יווג התכנית מתכנית דרך לתכנית מת</w:t>
      </w:r>
      <w:r w:rsidR="00B83EEF">
        <w:rPr>
          <w:rFonts w:hint="cs"/>
          <w:rtl/>
        </w:rPr>
        <w:t>אר מקומית</w:t>
      </w:r>
      <w:r w:rsidR="00BB0D45">
        <w:rPr>
          <w:rFonts w:hint="cs"/>
          <w:rtl/>
        </w:rPr>
        <w:t xml:space="preserve"> אך הבהירה כי מדובר בתיקון טכני שאינו כולל שינוי בתכנית עצמה ולכן אין צורך בהפקדת התכנית מחדש להתנגדויות. </w:t>
      </w:r>
    </w:p>
    <w:p w:rsidR="00BB0D45" w:rsidRDefault="006C16E6" w:rsidP="006C16E6">
      <w:pPr>
        <w:spacing w:line="360" w:lineRule="auto"/>
        <w:ind w:hanging="624"/>
        <w:jc w:val="both"/>
        <w:rPr>
          <w:rtl/>
        </w:rPr>
      </w:pPr>
      <w:r>
        <w:rPr>
          <w:rtl/>
        </w:rPr>
        <w:tab/>
      </w:r>
      <w:r w:rsidR="006E6FC2">
        <w:rPr>
          <w:rFonts w:hint="cs"/>
          <w:rtl/>
        </w:rPr>
        <w:t xml:space="preserve">כן התייחסה לכתב שיפוי שיהיה על יזמי התכנית להפקיד כפועל יוצא משינוי </w:t>
      </w:r>
      <w:r w:rsidR="00A02DB9">
        <w:rPr>
          <w:rFonts w:hint="cs"/>
          <w:rtl/>
        </w:rPr>
        <w:t xml:space="preserve">הגדרת </w:t>
      </w:r>
      <w:r w:rsidR="006E6FC2">
        <w:rPr>
          <w:rFonts w:hint="cs"/>
          <w:rtl/>
        </w:rPr>
        <w:t xml:space="preserve">התכנית. </w:t>
      </w:r>
    </w:p>
    <w:p w:rsidR="006E6FC2" w:rsidRDefault="006E6FC2" w:rsidP="00B83EEF">
      <w:pPr>
        <w:spacing w:line="360" w:lineRule="auto"/>
        <w:jc w:val="both"/>
        <w:rPr>
          <w:rtl/>
        </w:rPr>
      </w:pPr>
    </w:p>
    <w:p w:rsidR="00F770C7" w:rsidRDefault="006E6FC2" w:rsidP="00D46D4F">
      <w:pPr>
        <w:spacing w:line="360" w:lineRule="auto"/>
        <w:jc w:val="both"/>
        <w:rPr>
          <w:rtl/>
        </w:rPr>
      </w:pPr>
      <w:r>
        <w:rPr>
          <w:rFonts w:hint="cs"/>
          <w:rtl/>
        </w:rPr>
        <w:t xml:space="preserve">חרף כך שהועדה הבהירה שהיא עוסקת בנושאים תכנוניים בלבד, ולא בענייני תחרות והפרת הסכמות אל מול העותרת, </w:t>
      </w:r>
      <w:r w:rsidR="00A81838">
        <w:rPr>
          <w:rFonts w:hint="cs"/>
          <w:rtl/>
        </w:rPr>
        <w:t xml:space="preserve">היא קיבלה את התנגדות העותרת ביחס </w:t>
      </w:r>
      <w:r w:rsidR="00F770C7">
        <w:rPr>
          <w:rFonts w:hint="cs"/>
          <w:rtl/>
        </w:rPr>
        <w:t>לשטח הבנוי ו</w:t>
      </w:r>
      <w:r w:rsidR="00A81838">
        <w:rPr>
          <w:rFonts w:hint="cs"/>
          <w:rtl/>
        </w:rPr>
        <w:t>המסחרי בתא השטח הרלוונטי, כך שזה הוגבל ל-30 מ"ר בנוי. עוד הבהירה הועדה כי תמ"א 42</w:t>
      </w:r>
      <w:r w:rsidR="00F770C7">
        <w:rPr>
          <w:rFonts w:hint="cs"/>
          <w:rtl/>
        </w:rPr>
        <w:t xml:space="preserve">, </w:t>
      </w:r>
      <w:r w:rsidR="00A81838">
        <w:rPr>
          <w:rFonts w:hint="cs"/>
          <w:rtl/>
        </w:rPr>
        <w:t xml:space="preserve">שעל בסיסה </w:t>
      </w:r>
      <w:r w:rsidR="00A81838">
        <w:rPr>
          <w:rFonts w:hint="cs"/>
          <w:rtl/>
        </w:rPr>
        <w:lastRenderedPageBreak/>
        <w:t>העלתה העותרת התנגדותה, טרם אושרה על-ידי הממשלה</w:t>
      </w:r>
      <w:r w:rsidR="00F770C7">
        <w:rPr>
          <w:rFonts w:hint="cs"/>
          <w:rtl/>
        </w:rPr>
        <w:t>,</w:t>
      </w:r>
      <w:r w:rsidR="00A81838">
        <w:rPr>
          <w:rFonts w:hint="cs"/>
          <w:rtl/>
        </w:rPr>
        <w:t xml:space="preserve"> ולמעשה התכנית הקובעת היא תמ"א 1 אשר "</w:t>
      </w:r>
      <w:r w:rsidR="00A81838" w:rsidRPr="003F1814">
        <w:rPr>
          <w:rFonts w:hint="cs"/>
          <w:b/>
          <w:bCs/>
          <w:rtl/>
        </w:rPr>
        <w:t>מאפשרת הקמת מבנה לשימושים נלווים ושירות בתחום רצועת הדרך</w:t>
      </w:r>
      <w:r w:rsidR="00A81838">
        <w:rPr>
          <w:rFonts w:hint="cs"/>
          <w:rtl/>
        </w:rPr>
        <w:t>"</w:t>
      </w:r>
      <w:r w:rsidR="00F770C7">
        <w:rPr>
          <w:rFonts w:hint="cs"/>
          <w:rtl/>
        </w:rPr>
        <w:t xml:space="preserve"> (ראו נספח 1 לכתב העתירה). </w:t>
      </w:r>
    </w:p>
    <w:p w:rsidR="00F770C7" w:rsidRDefault="00F770C7" w:rsidP="006C16E6">
      <w:pPr>
        <w:spacing w:line="360" w:lineRule="auto"/>
        <w:ind w:hanging="624"/>
        <w:jc w:val="both"/>
        <w:rPr>
          <w:rtl/>
        </w:rPr>
      </w:pPr>
    </w:p>
    <w:p w:rsidR="00F770C7" w:rsidRDefault="00A02DB9" w:rsidP="006C16E6">
      <w:pPr>
        <w:spacing w:line="360" w:lineRule="auto"/>
        <w:ind w:hanging="624"/>
        <w:jc w:val="both"/>
        <w:rPr>
          <w:rtl/>
        </w:rPr>
      </w:pPr>
      <w:r>
        <w:rPr>
          <w:rFonts w:hint="cs"/>
          <w:rtl/>
        </w:rPr>
        <w:t>8</w:t>
      </w:r>
      <w:r w:rsidR="00F770C7">
        <w:rPr>
          <w:rFonts w:hint="cs"/>
          <w:rtl/>
        </w:rPr>
        <w:t xml:space="preserve">. </w:t>
      </w:r>
      <w:r w:rsidR="00F770C7">
        <w:rPr>
          <w:rtl/>
        </w:rPr>
        <w:tab/>
      </w:r>
      <w:r w:rsidR="00F770C7">
        <w:rPr>
          <w:rFonts w:hint="cs"/>
          <w:rtl/>
        </w:rPr>
        <w:t xml:space="preserve">ביום </w:t>
      </w:r>
      <w:r w:rsidR="005D5C65">
        <w:rPr>
          <w:rFonts w:hint="cs"/>
          <w:rtl/>
        </w:rPr>
        <w:t>12.12.2023 הגישה העותרת את הבקשה לרשות ערר</w:t>
      </w:r>
      <w:r w:rsidR="003275D7">
        <w:rPr>
          <w:rFonts w:hint="cs"/>
          <w:rtl/>
        </w:rPr>
        <w:t xml:space="preserve">. בבקשה חזרה העותרת על עיקרי התנגדותה והוסיפה כי משיבה 1 </w:t>
      </w:r>
      <w:r w:rsidR="006C398C">
        <w:rPr>
          <w:rFonts w:hint="cs"/>
          <w:rtl/>
        </w:rPr>
        <w:t>שגת</w:t>
      </w:r>
      <w:r w:rsidR="003275D7">
        <w:rPr>
          <w:rFonts w:hint="cs"/>
          <w:rtl/>
        </w:rPr>
        <w:t xml:space="preserve">ה </w:t>
      </w:r>
      <w:r w:rsidR="006C398C">
        <w:rPr>
          <w:rFonts w:hint="cs"/>
          <w:rtl/>
        </w:rPr>
        <w:t>כ</w:t>
      </w:r>
      <w:r w:rsidR="003275D7">
        <w:rPr>
          <w:rFonts w:hint="cs"/>
          <w:rtl/>
        </w:rPr>
        <w:t>אשר ד</w:t>
      </w:r>
      <w:r w:rsidR="006C398C">
        <w:rPr>
          <w:rFonts w:hint="cs"/>
          <w:rtl/>
        </w:rPr>
        <w:t>חתה את מרבית רכיבי ההתנגדות שלה;</w:t>
      </w:r>
      <w:r w:rsidR="003275D7">
        <w:rPr>
          <w:rFonts w:hint="cs"/>
          <w:rtl/>
        </w:rPr>
        <w:t xml:space="preserve"> כי ה</w:t>
      </w:r>
      <w:r w:rsidR="006C398C">
        <w:rPr>
          <w:rFonts w:hint="cs"/>
          <w:rtl/>
        </w:rPr>
        <w:t>החלטה בהתנגדות מהווה תקדים בעיתי אשר דוחק</w:t>
      </w:r>
      <w:r w:rsidR="003275D7">
        <w:rPr>
          <w:rFonts w:hint="cs"/>
          <w:rtl/>
        </w:rPr>
        <w:t xml:space="preserve"> את ההליך התכנוני למדרון</w:t>
      </w:r>
      <w:r w:rsidR="006C398C">
        <w:rPr>
          <w:rFonts w:hint="cs"/>
          <w:rtl/>
        </w:rPr>
        <w:t>;</w:t>
      </w:r>
      <w:r w:rsidR="003275D7">
        <w:rPr>
          <w:rFonts w:hint="cs"/>
          <w:rtl/>
        </w:rPr>
        <w:t xml:space="preserve"> כי ההחלטה</w:t>
      </w:r>
      <w:r w:rsidR="006C398C">
        <w:rPr>
          <w:rFonts w:hint="cs"/>
          <w:rtl/>
        </w:rPr>
        <w:t xml:space="preserve"> בהתנגדות</w:t>
      </w:r>
      <w:r w:rsidR="003275D7">
        <w:rPr>
          <w:rFonts w:hint="cs"/>
          <w:rtl/>
        </w:rPr>
        <w:t xml:space="preserve"> </w:t>
      </w:r>
      <w:r w:rsidR="006C398C">
        <w:rPr>
          <w:rFonts w:hint="cs"/>
          <w:rtl/>
        </w:rPr>
        <w:t>שוגה</w:t>
      </w:r>
      <w:r w:rsidR="003275D7">
        <w:rPr>
          <w:rFonts w:hint="cs"/>
          <w:rtl/>
        </w:rPr>
        <w:t xml:space="preserve"> בפרשנות שניתנה להוראות החוק ונוגדת את מגמות התכנון הארציות ובכלל זאת את הוראת תמ"א 42</w:t>
      </w:r>
      <w:r w:rsidR="006C398C">
        <w:rPr>
          <w:rFonts w:hint="cs"/>
          <w:rtl/>
        </w:rPr>
        <w:t xml:space="preserve">. כן </w:t>
      </w:r>
      <w:r w:rsidR="003275D7">
        <w:rPr>
          <w:rFonts w:hint="cs"/>
          <w:rtl/>
        </w:rPr>
        <w:t>נטען</w:t>
      </w:r>
      <w:r w:rsidR="00C36E73">
        <w:rPr>
          <w:rFonts w:hint="cs"/>
          <w:rtl/>
        </w:rPr>
        <w:t xml:space="preserve">, </w:t>
      </w:r>
      <w:r w:rsidR="003275D7">
        <w:rPr>
          <w:rFonts w:hint="cs"/>
          <w:rtl/>
        </w:rPr>
        <w:t>כי ההחלטה בהתנגד</w:t>
      </w:r>
      <w:r w:rsidR="006C398C">
        <w:rPr>
          <w:rFonts w:hint="cs"/>
          <w:rtl/>
        </w:rPr>
        <w:t>ו</w:t>
      </w:r>
      <w:r w:rsidR="003275D7">
        <w:rPr>
          <w:rFonts w:hint="cs"/>
          <w:rtl/>
        </w:rPr>
        <w:t>ת עסקה בנושאים תכנוניים עיקריים בעלי משמעות כלל ארצית</w:t>
      </w:r>
      <w:r w:rsidR="006C16E6">
        <w:rPr>
          <w:rFonts w:hint="cs"/>
          <w:rtl/>
        </w:rPr>
        <w:t xml:space="preserve"> בכל הנוגע לפרשנות תכנית מתא</w:t>
      </w:r>
      <w:r w:rsidR="006C398C">
        <w:rPr>
          <w:rFonts w:hint="cs"/>
          <w:rtl/>
        </w:rPr>
        <w:t xml:space="preserve">ר ארצית ולכן ראוי לאפשר לועדה הארצית לתת את דעתה ולקבוע את הפרשנות הנכונה ולחייב את הוועדות המחוזיות בנושא (ראו נספח 11 לכתב העתירה). </w:t>
      </w:r>
    </w:p>
    <w:p w:rsidR="00C36E73" w:rsidRDefault="00C36E73" w:rsidP="006C16E6">
      <w:pPr>
        <w:spacing w:line="360" w:lineRule="auto"/>
        <w:ind w:hanging="624"/>
        <w:jc w:val="both"/>
        <w:rPr>
          <w:rtl/>
        </w:rPr>
      </w:pPr>
    </w:p>
    <w:p w:rsidR="00800B47" w:rsidRDefault="00A02DB9" w:rsidP="006C16E6">
      <w:pPr>
        <w:spacing w:line="360" w:lineRule="auto"/>
        <w:ind w:hanging="624"/>
        <w:jc w:val="both"/>
        <w:rPr>
          <w:rtl/>
        </w:rPr>
      </w:pPr>
      <w:r>
        <w:rPr>
          <w:rFonts w:hint="cs"/>
          <w:rtl/>
        </w:rPr>
        <w:t>9</w:t>
      </w:r>
      <w:r w:rsidR="00C36E73">
        <w:rPr>
          <w:rFonts w:hint="cs"/>
          <w:rtl/>
        </w:rPr>
        <w:t xml:space="preserve">. </w:t>
      </w:r>
      <w:r w:rsidR="00C36E73">
        <w:rPr>
          <w:rFonts w:hint="cs"/>
          <w:rtl/>
        </w:rPr>
        <w:tab/>
        <w:t>ביום 04.01.2024 החליט משיב 2 לדחות את הבקשה למתן רשות ל</w:t>
      </w:r>
      <w:r w:rsidR="00800B47">
        <w:rPr>
          <w:rFonts w:hint="cs"/>
          <w:rtl/>
        </w:rPr>
        <w:t>ערור</w:t>
      </w:r>
      <w:r w:rsidR="00C36E73">
        <w:rPr>
          <w:rFonts w:hint="cs"/>
          <w:rtl/>
        </w:rPr>
        <w:t xml:space="preserve">. בהחלטה בבר"ע ציין משיב 2 כי לאחר שבדק את הבקשה והתייעץ עם יועמ"ש משיב 1, </w:t>
      </w:r>
      <w:r w:rsidR="00AF2271">
        <w:rPr>
          <w:rFonts w:hint="cs"/>
          <w:rtl/>
        </w:rPr>
        <w:t xml:space="preserve">הוא החליט שאין מקום להיעתר לבקשה </w:t>
      </w:r>
      <w:r w:rsidR="00800B47">
        <w:rPr>
          <w:rFonts w:hint="cs"/>
          <w:rtl/>
        </w:rPr>
        <w:t>משום ש</w:t>
      </w:r>
      <w:r w:rsidR="00AF2271">
        <w:rPr>
          <w:rFonts w:hint="cs"/>
          <w:rtl/>
        </w:rPr>
        <w:t>"</w:t>
      </w:r>
      <w:r w:rsidR="00AF2271">
        <w:rPr>
          <w:rFonts w:hint="cs"/>
          <w:b/>
          <w:bCs/>
          <w:rtl/>
        </w:rPr>
        <w:t>החלטות הועדה כוללות הסבר מפורט לטעמים אשר הביאו את הועדה להחליט על דחיית ההתנגדות והיא מקובלת עלי במלואה</w:t>
      </w:r>
      <w:r w:rsidR="00AF2271">
        <w:rPr>
          <w:rFonts w:hint="cs"/>
          <w:rtl/>
        </w:rPr>
        <w:t xml:space="preserve">". </w:t>
      </w:r>
    </w:p>
    <w:p w:rsidR="00800B47" w:rsidRDefault="006C16E6" w:rsidP="006C16E6">
      <w:pPr>
        <w:spacing w:line="360" w:lineRule="auto"/>
        <w:ind w:hanging="624"/>
        <w:jc w:val="both"/>
        <w:rPr>
          <w:rtl/>
        </w:rPr>
      </w:pPr>
      <w:r>
        <w:rPr>
          <w:rtl/>
        </w:rPr>
        <w:tab/>
      </w:r>
      <w:r w:rsidR="00AF2271">
        <w:rPr>
          <w:rFonts w:hint="cs"/>
          <w:rtl/>
        </w:rPr>
        <w:t xml:space="preserve">משיב 2 התייחס באופן מפורט </w:t>
      </w:r>
      <w:r w:rsidR="0060317F">
        <w:rPr>
          <w:rFonts w:hint="cs"/>
          <w:rtl/>
        </w:rPr>
        <w:t xml:space="preserve">לטענות </w:t>
      </w:r>
      <w:r w:rsidR="00800B47">
        <w:rPr>
          <w:rFonts w:hint="cs"/>
          <w:rtl/>
        </w:rPr>
        <w:t>של העותרת בהתנגדות</w:t>
      </w:r>
      <w:r w:rsidR="00F955C8">
        <w:rPr>
          <w:rFonts w:hint="cs"/>
          <w:rtl/>
        </w:rPr>
        <w:t xml:space="preserve"> ולהתייחסות משיבה 1 </w:t>
      </w:r>
      <w:r w:rsidR="00F80D77">
        <w:rPr>
          <w:rFonts w:hint="cs"/>
          <w:rtl/>
        </w:rPr>
        <w:t xml:space="preserve">לטענות אלו בהחלטה. </w:t>
      </w:r>
    </w:p>
    <w:p w:rsidR="00C36E73" w:rsidRDefault="006C16E6" w:rsidP="006C16E6">
      <w:pPr>
        <w:spacing w:line="360" w:lineRule="auto"/>
        <w:ind w:hanging="624"/>
        <w:jc w:val="both"/>
        <w:rPr>
          <w:rtl/>
        </w:rPr>
      </w:pPr>
      <w:r>
        <w:rPr>
          <w:rtl/>
        </w:rPr>
        <w:tab/>
      </w:r>
      <w:r w:rsidR="00C82EEE">
        <w:rPr>
          <w:rFonts w:hint="cs"/>
          <w:rtl/>
        </w:rPr>
        <w:t>כך למשל</w:t>
      </w:r>
      <w:r w:rsidR="00A02DB9">
        <w:rPr>
          <w:rFonts w:hint="cs"/>
          <w:rtl/>
        </w:rPr>
        <w:t>,</w:t>
      </w:r>
      <w:r w:rsidR="00C82EEE">
        <w:rPr>
          <w:rFonts w:hint="cs"/>
          <w:rtl/>
        </w:rPr>
        <w:t xml:space="preserve"> ביחס לטענה שהפקדת התכנית </w:t>
      </w:r>
      <w:r w:rsidR="00800B47">
        <w:rPr>
          <w:rFonts w:hint="cs"/>
          <w:rtl/>
        </w:rPr>
        <w:t>נעשתה בניגוד להחלטת</w:t>
      </w:r>
      <w:r w:rsidR="00C82EEE">
        <w:rPr>
          <w:rFonts w:hint="cs"/>
          <w:rtl/>
        </w:rPr>
        <w:t xml:space="preserve"> </w:t>
      </w:r>
      <w:r w:rsidR="00800B47">
        <w:rPr>
          <w:rFonts w:hint="cs"/>
          <w:rtl/>
        </w:rPr>
        <w:t>ה</w:t>
      </w:r>
      <w:r w:rsidR="00C82EEE">
        <w:rPr>
          <w:rFonts w:hint="cs"/>
          <w:rtl/>
        </w:rPr>
        <w:t>הפקד</w:t>
      </w:r>
      <w:r w:rsidR="00A02DB9">
        <w:rPr>
          <w:rFonts w:hint="cs"/>
          <w:rtl/>
        </w:rPr>
        <w:t>ה ציין ש</w:t>
      </w:r>
      <w:r w:rsidR="00C82EEE">
        <w:rPr>
          <w:rFonts w:hint="cs"/>
          <w:rtl/>
        </w:rPr>
        <w:t>"</w:t>
      </w:r>
      <w:r w:rsidR="00C82EEE">
        <w:rPr>
          <w:rFonts w:hint="cs"/>
          <w:b/>
          <w:bCs/>
          <w:rtl/>
        </w:rPr>
        <w:t>הועדה שמעה את הטענה ושוכנעה כי השימו</w:t>
      </w:r>
      <w:r w:rsidR="00A02DB9">
        <w:rPr>
          <w:rFonts w:hint="cs"/>
          <w:b/>
          <w:bCs/>
          <w:rtl/>
        </w:rPr>
        <w:t>שים המוצעים בתכנית במרכז תחבורה</w:t>
      </w:r>
      <w:r w:rsidR="00C82EEE">
        <w:rPr>
          <w:rFonts w:hint="cs"/>
          <w:b/>
          <w:bCs/>
          <w:rtl/>
        </w:rPr>
        <w:t>, הינם שימושים הדרושים בתכנית ונכון לאשרם, על אף טענות המבקשת והתנגדותה</w:t>
      </w:r>
      <w:r w:rsidR="00C82EEE">
        <w:rPr>
          <w:rFonts w:hint="cs"/>
          <w:rtl/>
        </w:rPr>
        <w:t xml:space="preserve">. </w:t>
      </w:r>
      <w:r w:rsidR="00C82EEE">
        <w:rPr>
          <w:rFonts w:hint="cs"/>
          <w:b/>
          <w:bCs/>
          <w:rtl/>
        </w:rPr>
        <w:t>מששקלה הועדה את מכלול השיקולים ובכלל זה ההנמקות שעלו בהחלטה בהפקדה ולא מצאה לנכון לערוך שינויים, או תיקונים בתכנית שהופקדה, הרי שההחלטה עומדת בפני עצמה בהיבטים אלה</w:t>
      </w:r>
      <w:r w:rsidR="00C82EEE">
        <w:rPr>
          <w:rFonts w:hint="cs"/>
          <w:rtl/>
        </w:rPr>
        <w:t>". כן התייחס משיב 2 לשינוי הגדרת התכנית ולהתייחסות משיבה 1 לכך</w:t>
      </w:r>
      <w:r w:rsidR="00800B47">
        <w:rPr>
          <w:rFonts w:hint="cs"/>
          <w:rtl/>
        </w:rPr>
        <w:t>,</w:t>
      </w:r>
      <w:r w:rsidR="00C82EEE">
        <w:rPr>
          <w:rFonts w:hint="cs"/>
          <w:rtl/>
        </w:rPr>
        <w:t xml:space="preserve"> וציין כי מדובר בהיבט פרוצדורלי שאינו משפ</w:t>
      </w:r>
      <w:r w:rsidR="00800B47">
        <w:rPr>
          <w:rFonts w:hint="cs"/>
          <w:rtl/>
        </w:rPr>
        <w:t xml:space="preserve">יע על תוכן התכנית וכן שממילא לעותרת הייתה </w:t>
      </w:r>
      <w:r w:rsidR="00C82EEE">
        <w:rPr>
          <w:rFonts w:hint="cs"/>
          <w:rtl/>
        </w:rPr>
        <w:t>אפשרות להתייחס למוצע בתכנית. משיב 2 הוסיף כי "</w:t>
      </w:r>
      <w:r w:rsidR="00C82EEE">
        <w:rPr>
          <w:rFonts w:hint="cs"/>
          <w:b/>
          <w:bCs/>
          <w:rtl/>
        </w:rPr>
        <w:t>הטענה הינה טענה פרוצדוראלית בעיקרה ובוודאי אין בה השלכות רוחב, המצדיקות מתן רשות ערר למועצה הארצית</w:t>
      </w:r>
      <w:r w:rsidR="00C82EEE">
        <w:rPr>
          <w:rFonts w:hint="cs"/>
          <w:rtl/>
        </w:rPr>
        <w:t xml:space="preserve">". </w:t>
      </w:r>
    </w:p>
    <w:p w:rsidR="00DF5C01" w:rsidRDefault="00C82EEE" w:rsidP="006C16E6">
      <w:pPr>
        <w:spacing w:line="360" w:lineRule="auto"/>
        <w:ind w:hanging="624"/>
        <w:jc w:val="both"/>
        <w:rPr>
          <w:rtl/>
        </w:rPr>
      </w:pPr>
      <w:r>
        <w:rPr>
          <w:rtl/>
        </w:rPr>
        <w:tab/>
      </w:r>
      <w:r>
        <w:rPr>
          <w:rFonts w:hint="cs"/>
          <w:rtl/>
        </w:rPr>
        <w:t>ביחס ל</w:t>
      </w:r>
      <w:r w:rsidR="00800B47">
        <w:rPr>
          <w:rFonts w:hint="cs"/>
          <w:rtl/>
        </w:rPr>
        <w:t>טענה הקשורה ל</w:t>
      </w:r>
      <w:r>
        <w:rPr>
          <w:rFonts w:hint="cs"/>
          <w:rtl/>
        </w:rPr>
        <w:t>חנות הנוחות בשטח של 30 מ"ר, ציין משיב 2 כי "</w:t>
      </w:r>
      <w:r>
        <w:rPr>
          <w:rFonts w:hint="cs"/>
          <w:b/>
          <w:bCs/>
          <w:rtl/>
        </w:rPr>
        <w:t>כפי שציינה הועדה גם אם סיווג התכנית לא היה משתנה, מדובר בשימוש נלווה, אשר גם לפי הוראות תמ"א 1 ניתן לאשרו כ</w:t>
      </w:r>
      <w:r w:rsidR="000D20B6">
        <w:rPr>
          <w:rFonts w:hint="cs"/>
          <w:b/>
          <w:bCs/>
          <w:rtl/>
        </w:rPr>
        <w:t>'</w:t>
      </w:r>
      <w:r>
        <w:rPr>
          <w:rFonts w:hint="cs"/>
          <w:b/>
          <w:bCs/>
          <w:rtl/>
        </w:rPr>
        <w:t>מבנה שירות</w:t>
      </w:r>
      <w:r w:rsidR="000D20B6">
        <w:rPr>
          <w:rFonts w:hint="cs"/>
          <w:b/>
          <w:bCs/>
          <w:rtl/>
        </w:rPr>
        <w:t>' בתכנית לדרך. אין מחלוקת כי מדובר בשטח בנייה מצומצם לחנות נוחות, במגרש בו מדובר, ובהיבט זניח לתכנית כולה</w:t>
      </w:r>
      <w:r w:rsidR="000D20B6">
        <w:rPr>
          <w:rFonts w:hint="cs"/>
          <w:rtl/>
        </w:rPr>
        <w:t xml:space="preserve">. </w:t>
      </w:r>
      <w:r w:rsidR="000D20B6" w:rsidRPr="000D20B6">
        <w:rPr>
          <w:rFonts w:hint="cs"/>
          <w:b/>
          <w:bCs/>
          <w:rtl/>
        </w:rPr>
        <w:t xml:space="preserve">יצוין כי </w:t>
      </w:r>
      <w:r w:rsidR="000D20B6">
        <w:rPr>
          <w:rFonts w:hint="cs"/>
          <w:b/>
          <w:bCs/>
          <w:rtl/>
        </w:rPr>
        <w:t>המבקשת מתעלמת מהעובדה שהדין החל אינו תמ"א 42 אלא תמ"א 1... גם בהיבט זה, לא מצאתי שמדובר בסוגיה בעלת השלכות רחבות, או בעלת חשיבות כלל ארצית, המצדיקה מתן רשות ערר למועצה הארצית</w:t>
      </w:r>
      <w:r w:rsidR="000D20B6">
        <w:rPr>
          <w:rFonts w:hint="cs"/>
          <w:rtl/>
        </w:rPr>
        <w:t xml:space="preserve">". </w:t>
      </w:r>
    </w:p>
    <w:p w:rsidR="000D20B6" w:rsidRDefault="006C16E6" w:rsidP="006C16E6">
      <w:pPr>
        <w:spacing w:line="360" w:lineRule="auto"/>
        <w:ind w:hanging="624"/>
        <w:jc w:val="both"/>
        <w:rPr>
          <w:rtl/>
        </w:rPr>
      </w:pPr>
      <w:r>
        <w:rPr>
          <w:rtl/>
        </w:rPr>
        <w:tab/>
      </w:r>
      <w:r w:rsidR="000D20B6">
        <w:rPr>
          <w:rFonts w:hint="cs"/>
          <w:rtl/>
        </w:rPr>
        <w:t>משיב 2 התייחס גם לטענה הקשורה להשבת הקרקע לעותרת וציין "</w:t>
      </w:r>
      <w:r w:rsidR="000D20B6">
        <w:rPr>
          <w:rFonts w:hint="cs"/>
          <w:b/>
          <w:bCs/>
          <w:rtl/>
        </w:rPr>
        <w:t>שאין זה מתפקידה לעסוק בהיבטים</w:t>
      </w:r>
      <w:r w:rsidR="00127053">
        <w:rPr>
          <w:rFonts w:hint="cs"/>
          <w:b/>
          <w:bCs/>
          <w:rtl/>
        </w:rPr>
        <w:t xml:space="preserve"> קנייניים והוועדה אינה מוסמכת להורות </w:t>
      </w:r>
      <w:r w:rsidR="000D20B6">
        <w:rPr>
          <w:rFonts w:hint="cs"/>
          <w:b/>
          <w:bCs/>
          <w:rtl/>
        </w:rPr>
        <w:t>על השבת קרקע שהופקעה או הועברה בדרך אחרת לבעלות מגישת התכנית</w:t>
      </w:r>
      <w:r w:rsidR="000D20B6">
        <w:rPr>
          <w:rFonts w:hint="cs"/>
          <w:rtl/>
        </w:rPr>
        <w:t xml:space="preserve">. </w:t>
      </w:r>
      <w:r w:rsidR="000D20B6" w:rsidRPr="000D20B6">
        <w:rPr>
          <w:rFonts w:hint="cs"/>
          <w:b/>
          <w:bCs/>
          <w:rtl/>
        </w:rPr>
        <w:t xml:space="preserve">לאור האמור לעיל, גם נושא זה, הינו ייחודי להליכי עבר, בין </w:t>
      </w:r>
      <w:r w:rsidR="000D20B6" w:rsidRPr="000D20B6">
        <w:rPr>
          <w:rFonts w:hint="cs"/>
          <w:b/>
          <w:bCs/>
          <w:rtl/>
        </w:rPr>
        <w:lastRenderedPageBreak/>
        <w:t>המבקשת</w:t>
      </w:r>
      <w:r w:rsidR="000D20B6">
        <w:rPr>
          <w:rFonts w:hint="cs"/>
          <w:rtl/>
        </w:rPr>
        <w:t xml:space="preserve"> </w:t>
      </w:r>
      <w:r w:rsidR="000D20B6">
        <w:rPr>
          <w:rFonts w:hint="cs"/>
          <w:b/>
          <w:bCs/>
          <w:rtl/>
        </w:rPr>
        <w:t>למגישת התכנית ואין מדובר בנושא בעל השלכות רוחב בתכנית זו, המצדיק מתן רשות ערר למועצה הארצית</w:t>
      </w:r>
      <w:r w:rsidR="000D20B6">
        <w:rPr>
          <w:rFonts w:hint="cs"/>
          <w:rtl/>
        </w:rPr>
        <w:t xml:space="preserve">". </w:t>
      </w:r>
    </w:p>
    <w:p w:rsidR="000A1F0D" w:rsidRPr="000A1F0D" w:rsidRDefault="000D20B6" w:rsidP="006C16E6">
      <w:pPr>
        <w:spacing w:line="360" w:lineRule="auto"/>
        <w:ind w:hanging="624"/>
        <w:jc w:val="both"/>
        <w:rPr>
          <w:rtl/>
        </w:rPr>
      </w:pPr>
      <w:r>
        <w:rPr>
          <w:rtl/>
        </w:rPr>
        <w:tab/>
      </w:r>
      <w:r>
        <w:rPr>
          <w:rFonts w:hint="cs"/>
          <w:rtl/>
        </w:rPr>
        <w:t xml:space="preserve">בסיום ההחלטה בבר"ע משיב 2 </w:t>
      </w:r>
      <w:r w:rsidR="00127053">
        <w:rPr>
          <w:rFonts w:hint="cs"/>
          <w:rtl/>
        </w:rPr>
        <w:t>הבהיר,</w:t>
      </w:r>
      <w:r>
        <w:rPr>
          <w:rFonts w:hint="cs"/>
          <w:rtl/>
        </w:rPr>
        <w:t xml:space="preserve"> תוך הפניה לפסיקה, כי </w:t>
      </w:r>
      <w:r>
        <w:rPr>
          <w:rFonts w:hint="cs"/>
          <w:b/>
          <w:bCs/>
          <w:rtl/>
        </w:rPr>
        <w:t xml:space="preserve">"החלטה הוועדה בתוכנית אינה מעלה סוגיות עקרוניות כלשהן, או נושאים בעלי חשיבות כלל </w:t>
      </w:r>
      <w:r>
        <w:rPr>
          <w:b/>
          <w:bCs/>
          <w:rtl/>
        </w:rPr>
        <w:t>–</w:t>
      </w:r>
      <w:r>
        <w:rPr>
          <w:rFonts w:hint="cs"/>
          <w:b/>
          <w:bCs/>
          <w:rtl/>
        </w:rPr>
        <w:t xml:space="preserve"> אזורי או כלל </w:t>
      </w:r>
      <w:r>
        <w:rPr>
          <w:b/>
          <w:bCs/>
          <w:rtl/>
        </w:rPr>
        <w:t>–</w:t>
      </w:r>
      <w:r>
        <w:rPr>
          <w:rFonts w:hint="cs"/>
          <w:b/>
          <w:bCs/>
          <w:rtl/>
        </w:rPr>
        <w:t xml:space="preserve"> ארצי</w:t>
      </w:r>
      <w:r w:rsidR="000A1F0D">
        <w:rPr>
          <w:rFonts w:hint="cs"/>
          <w:b/>
          <w:bCs/>
          <w:rtl/>
        </w:rPr>
        <w:t>, או מחלוקת ציבורית קשה ביחס לתכנית דנן</w:t>
      </w:r>
      <w:r w:rsidR="000A1F0D">
        <w:rPr>
          <w:rFonts w:hint="cs"/>
          <w:rtl/>
        </w:rPr>
        <w:t xml:space="preserve">". (ראו נספח 2 לכתב העתירה). </w:t>
      </w:r>
    </w:p>
    <w:p w:rsidR="006C398C" w:rsidRDefault="006C398C" w:rsidP="00F770C7">
      <w:pPr>
        <w:spacing w:line="360" w:lineRule="auto"/>
        <w:ind w:hanging="765"/>
        <w:jc w:val="both"/>
        <w:rPr>
          <w:rtl/>
        </w:rPr>
      </w:pPr>
    </w:p>
    <w:p w:rsidR="00127053" w:rsidRDefault="00A02DB9" w:rsidP="006C16E6">
      <w:pPr>
        <w:spacing w:line="360" w:lineRule="auto"/>
        <w:ind w:hanging="624"/>
        <w:jc w:val="both"/>
        <w:rPr>
          <w:rtl/>
        </w:rPr>
      </w:pPr>
      <w:r>
        <w:rPr>
          <w:rFonts w:hint="cs"/>
          <w:rtl/>
        </w:rPr>
        <w:t>10</w:t>
      </w:r>
      <w:r w:rsidR="00127053">
        <w:rPr>
          <w:rFonts w:hint="cs"/>
          <w:rtl/>
        </w:rPr>
        <w:t>.</w:t>
      </w:r>
      <w:r w:rsidR="00127053">
        <w:rPr>
          <w:rFonts w:hint="cs"/>
          <w:rtl/>
        </w:rPr>
        <w:tab/>
        <w:t xml:space="preserve">מכאן עתירה זו. </w:t>
      </w:r>
    </w:p>
    <w:p w:rsidR="00517631" w:rsidRDefault="00517631" w:rsidP="006C16E6">
      <w:pPr>
        <w:spacing w:line="360" w:lineRule="auto"/>
        <w:ind w:hanging="624"/>
        <w:jc w:val="both"/>
        <w:rPr>
          <w:rtl/>
        </w:rPr>
      </w:pPr>
      <w:r>
        <w:rPr>
          <w:rtl/>
        </w:rPr>
        <w:tab/>
      </w:r>
      <w:r w:rsidR="00A02DB9">
        <w:rPr>
          <w:rFonts w:hint="cs"/>
          <w:rtl/>
        </w:rPr>
        <w:t>יצוין</w:t>
      </w:r>
      <w:r>
        <w:rPr>
          <w:rFonts w:hint="cs"/>
          <w:rtl/>
        </w:rPr>
        <w:t>, כי בהתאם לעדכון ב"כ משיבים 1-2 בכתב התשובה, התכנית פורסמה ביום 17.3.2024 למתן תוקף ברשומות, ולפיכך אושרה ביום 8.4.2021, כאשר</w:t>
      </w:r>
      <w:r w:rsidR="009F03B8">
        <w:rPr>
          <w:rFonts w:hint="cs"/>
          <w:rtl/>
        </w:rPr>
        <w:t xml:space="preserve"> בהתאם למוסכם בין הצדדים </w:t>
      </w:r>
      <w:r>
        <w:rPr>
          <w:rFonts w:hint="cs"/>
          <w:rtl/>
        </w:rPr>
        <w:t xml:space="preserve">המשיבים </w:t>
      </w:r>
      <w:r w:rsidR="009F03B8">
        <w:rPr>
          <w:rFonts w:hint="cs"/>
          <w:rtl/>
        </w:rPr>
        <w:t xml:space="preserve">מנועים </w:t>
      </w:r>
      <w:r>
        <w:rPr>
          <w:rFonts w:hint="cs"/>
          <w:rtl/>
        </w:rPr>
        <w:t>מלטעון למעשה עשוי בהקשר לכך.</w:t>
      </w:r>
    </w:p>
    <w:p w:rsidR="00127053" w:rsidRDefault="00127053" w:rsidP="006E4A7B">
      <w:pPr>
        <w:spacing w:line="360" w:lineRule="auto"/>
        <w:ind w:hanging="624"/>
        <w:jc w:val="both"/>
        <w:rPr>
          <w:rtl/>
        </w:rPr>
      </w:pPr>
    </w:p>
    <w:p w:rsidR="00127053" w:rsidRPr="00127053" w:rsidRDefault="00127053" w:rsidP="006E4A7B">
      <w:pPr>
        <w:spacing w:line="360" w:lineRule="auto"/>
        <w:ind w:hanging="624"/>
        <w:jc w:val="both"/>
        <w:rPr>
          <w:b/>
          <w:bCs/>
          <w:u w:val="single"/>
          <w:rtl/>
        </w:rPr>
      </w:pPr>
      <w:r>
        <w:rPr>
          <w:rtl/>
        </w:rPr>
        <w:tab/>
      </w:r>
      <w:r w:rsidRPr="00127053">
        <w:rPr>
          <w:rFonts w:hint="cs"/>
          <w:b/>
          <w:bCs/>
          <w:u w:val="single"/>
          <w:rtl/>
        </w:rPr>
        <w:t xml:space="preserve">טיעוני הצדדים </w:t>
      </w:r>
    </w:p>
    <w:p w:rsidR="00127053" w:rsidRDefault="00A02DB9" w:rsidP="006E4A7B">
      <w:pPr>
        <w:spacing w:line="360" w:lineRule="auto"/>
        <w:ind w:hanging="624"/>
        <w:jc w:val="both"/>
        <w:rPr>
          <w:rtl/>
        </w:rPr>
      </w:pPr>
      <w:r>
        <w:rPr>
          <w:rFonts w:hint="cs"/>
          <w:rtl/>
        </w:rPr>
        <w:t>11</w:t>
      </w:r>
      <w:r w:rsidR="00127053">
        <w:rPr>
          <w:rFonts w:hint="cs"/>
          <w:rtl/>
        </w:rPr>
        <w:t xml:space="preserve">. </w:t>
      </w:r>
      <w:r w:rsidR="00127053">
        <w:rPr>
          <w:rtl/>
        </w:rPr>
        <w:tab/>
      </w:r>
      <w:r w:rsidR="00581068">
        <w:rPr>
          <w:rFonts w:hint="cs"/>
          <w:rtl/>
        </w:rPr>
        <w:t>בכתב העתירה טענה העותרת כי השימושים שהותרו בתא שטח 200 של חנות נוחות ועמדת טעינה לרכבים חשמליים עומדים בניגוד להוראות החוק ובניגוד לתמ"א 42.</w:t>
      </w:r>
    </w:p>
    <w:p w:rsidR="006015F7" w:rsidRDefault="00581068" w:rsidP="006E4A7B">
      <w:pPr>
        <w:spacing w:line="360" w:lineRule="auto"/>
        <w:ind w:hanging="624"/>
        <w:jc w:val="both"/>
        <w:rPr>
          <w:rtl/>
        </w:rPr>
      </w:pPr>
      <w:r>
        <w:rPr>
          <w:rtl/>
        </w:rPr>
        <w:tab/>
      </w:r>
      <w:r w:rsidR="006015F7">
        <w:rPr>
          <w:rFonts w:hint="cs"/>
          <w:rtl/>
        </w:rPr>
        <w:t xml:space="preserve">נטען, </w:t>
      </w:r>
      <w:r>
        <w:rPr>
          <w:rFonts w:hint="cs"/>
          <w:rtl/>
        </w:rPr>
        <w:t>כי אישור האלמנטים המסחריים במסגרת תכני</w:t>
      </w:r>
      <w:r w:rsidR="009F1B31">
        <w:rPr>
          <w:rFonts w:hint="cs"/>
          <w:rtl/>
        </w:rPr>
        <w:t>ת דרך הוא תמוה, טענה שמתחזקת לנוכח ההפקדה הבלתי חוקית של התכנית</w:t>
      </w:r>
      <w:r w:rsidR="006015F7">
        <w:rPr>
          <w:rFonts w:hint="cs"/>
          <w:rtl/>
        </w:rPr>
        <w:t>,</w:t>
      </w:r>
      <w:r w:rsidR="009F1B31">
        <w:rPr>
          <w:rFonts w:hint="cs"/>
          <w:rtl/>
        </w:rPr>
        <w:t xml:space="preserve"> אגב שינויי מסמכי התכנית בניגוד להחלטת ההפקדה</w:t>
      </w:r>
      <w:r w:rsidR="006015F7">
        <w:rPr>
          <w:rFonts w:hint="cs"/>
          <w:rtl/>
        </w:rPr>
        <w:t xml:space="preserve">. </w:t>
      </w:r>
    </w:p>
    <w:p w:rsidR="00581068" w:rsidRDefault="006E4A7B" w:rsidP="006E4A7B">
      <w:pPr>
        <w:spacing w:line="360" w:lineRule="auto"/>
        <w:ind w:hanging="624"/>
        <w:jc w:val="both"/>
        <w:rPr>
          <w:rtl/>
        </w:rPr>
      </w:pPr>
      <w:r>
        <w:rPr>
          <w:rtl/>
        </w:rPr>
        <w:tab/>
      </w:r>
      <w:r w:rsidR="006015F7">
        <w:rPr>
          <w:rFonts w:hint="cs"/>
          <w:rtl/>
        </w:rPr>
        <w:t xml:space="preserve">נטען, כי </w:t>
      </w:r>
      <w:r w:rsidR="009F1B31">
        <w:rPr>
          <w:rFonts w:hint="cs"/>
          <w:rtl/>
        </w:rPr>
        <w:t xml:space="preserve">ישנו חשש שמקבלי ההחלטה, לרבות בהחלטה בהתנגדות, לא היו מודעים לתוכן ולמשמעות ההחלטה ולכך שהמצע העובדתי </w:t>
      </w:r>
      <w:r w:rsidR="009F1B31">
        <w:rPr>
          <w:rtl/>
        </w:rPr>
        <w:t>–</w:t>
      </w:r>
      <w:r w:rsidR="009F1B31">
        <w:rPr>
          <w:rFonts w:hint="cs"/>
          <w:rtl/>
        </w:rPr>
        <w:t xml:space="preserve"> תכנוני שנמצא לפניהם, שונה לחלוטין מהמצע העובדתי </w:t>
      </w:r>
      <w:r w:rsidR="009F1B31">
        <w:rPr>
          <w:rtl/>
        </w:rPr>
        <w:t>–</w:t>
      </w:r>
      <w:r w:rsidR="009F1B31">
        <w:rPr>
          <w:rFonts w:hint="cs"/>
          <w:rtl/>
        </w:rPr>
        <w:t xml:space="preserve"> תכנוני האמיתי. </w:t>
      </w:r>
    </w:p>
    <w:p w:rsidR="009F1B31" w:rsidRDefault="009F1B31" w:rsidP="006E4A7B">
      <w:pPr>
        <w:spacing w:line="360" w:lineRule="auto"/>
        <w:ind w:hanging="624"/>
        <w:jc w:val="both"/>
        <w:rPr>
          <w:rtl/>
        </w:rPr>
      </w:pPr>
      <w:r>
        <w:rPr>
          <w:rtl/>
        </w:rPr>
        <w:tab/>
      </w:r>
      <w:r w:rsidR="007C24A9">
        <w:rPr>
          <w:rFonts w:hint="cs"/>
          <w:rtl/>
        </w:rPr>
        <w:t>עוד נטען, כי שימושים אלו, באופן שבו הם אושרו, עבור גוף ציבורי (נת"י)</w:t>
      </w:r>
      <w:r w:rsidR="006015F7">
        <w:rPr>
          <w:rFonts w:hint="cs"/>
          <w:rtl/>
        </w:rPr>
        <w:t>,</w:t>
      </w:r>
      <w:r w:rsidR="007C24A9">
        <w:rPr>
          <w:rFonts w:hint="cs"/>
          <w:rtl/>
        </w:rPr>
        <w:t xml:space="preserve"> שממילא יש לו יתרון מובנה וקיצוני ביחס לסקטור הפרטי, </w:t>
      </w:r>
      <w:r w:rsidR="006015F7">
        <w:rPr>
          <w:rFonts w:hint="cs"/>
          <w:rtl/>
        </w:rPr>
        <w:t>יוצרים</w:t>
      </w:r>
      <w:r w:rsidR="007C24A9">
        <w:rPr>
          <w:rFonts w:hint="cs"/>
          <w:rtl/>
        </w:rPr>
        <w:t xml:space="preserve"> תחרות בלתי הוגנת ופסולה בעליל בליבת העסקים של העותרת. </w:t>
      </w:r>
    </w:p>
    <w:p w:rsidR="006B53C5" w:rsidRDefault="007C24A9" w:rsidP="006E4A7B">
      <w:pPr>
        <w:spacing w:line="360" w:lineRule="auto"/>
        <w:ind w:hanging="624"/>
        <w:jc w:val="both"/>
        <w:rPr>
          <w:rtl/>
        </w:rPr>
      </w:pPr>
      <w:r>
        <w:rPr>
          <w:rtl/>
        </w:rPr>
        <w:tab/>
      </w:r>
    </w:p>
    <w:p w:rsidR="007C24A9" w:rsidRDefault="006E4A7B" w:rsidP="006E4A7B">
      <w:pPr>
        <w:spacing w:line="360" w:lineRule="auto"/>
        <w:ind w:hanging="624"/>
        <w:jc w:val="both"/>
        <w:rPr>
          <w:rtl/>
        </w:rPr>
      </w:pPr>
      <w:r>
        <w:rPr>
          <w:rtl/>
        </w:rPr>
        <w:tab/>
      </w:r>
      <w:r w:rsidR="00C47053">
        <w:rPr>
          <w:rFonts w:hint="cs"/>
          <w:rtl/>
        </w:rPr>
        <w:t>ביתר פירוט נטען, כי במסגרת ההחלטה בהתנגדות התעלמה הועדה המחוזית מהמעשה החמור של שינוי מסמכי התכנית בניגוד להחלטת ההפקדה</w:t>
      </w:r>
      <w:r w:rsidR="008A5A51">
        <w:rPr>
          <w:rFonts w:hint="cs"/>
          <w:rtl/>
        </w:rPr>
        <w:t>,</w:t>
      </w:r>
      <w:r w:rsidR="00C47053">
        <w:rPr>
          <w:rFonts w:hint="cs"/>
          <w:rtl/>
        </w:rPr>
        <w:t xml:space="preserve"> ולמעשה </w:t>
      </w:r>
      <w:r w:rsidR="008A5A51">
        <w:rPr>
          <w:rFonts w:hint="cs"/>
          <w:rtl/>
        </w:rPr>
        <w:t>הכשירה היא את ה</w:t>
      </w:r>
      <w:r w:rsidR="00C47053">
        <w:rPr>
          <w:rFonts w:hint="cs"/>
          <w:rtl/>
        </w:rPr>
        <w:t>"</w:t>
      </w:r>
      <w:r w:rsidR="008A5A51">
        <w:rPr>
          <w:rFonts w:hint="cs"/>
          <w:rtl/>
        </w:rPr>
        <w:t>ש</w:t>
      </w:r>
      <w:r w:rsidR="00C47053">
        <w:rPr>
          <w:rFonts w:hint="cs"/>
          <w:rtl/>
        </w:rPr>
        <w:t>רץ" ו</w:t>
      </w:r>
      <w:r w:rsidR="008A5A51">
        <w:rPr>
          <w:rFonts w:hint="cs"/>
          <w:rtl/>
        </w:rPr>
        <w:t xml:space="preserve">רוקנה </w:t>
      </w:r>
      <w:r w:rsidR="006015F7">
        <w:rPr>
          <w:rFonts w:hint="cs"/>
          <w:rtl/>
        </w:rPr>
        <w:t xml:space="preserve">מתוכן את סמכויות ועדת המשנה של הועדה המחוזית אשר דנה בתכנית עד לשלב </w:t>
      </w:r>
      <w:r w:rsidR="008A5A51">
        <w:rPr>
          <w:rFonts w:hint="cs"/>
          <w:rtl/>
        </w:rPr>
        <w:t>הפקדתה והעברת מלוא הסמכויות לידיו</w:t>
      </w:r>
      <w:r w:rsidR="006015F7">
        <w:rPr>
          <w:rFonts w:hint="cs"/>
          <w:rtl/>
        </w:rPr>
        <w:t xml:space="preserve"> של מאן דהוא, שהוא כנראה היזם.</w:t>
      </w:r>
    </w:p>
    <w:p w:rsidR="00C27471" w:rsidRDefault="006E4A7B" w:rsidP="006E4A7B">
      <w:pPr>
        <w:spacing w:line="360" w:lineRule="auto"/>
        <w:ind w:hanging="624"/>
        <w:jc w:val="both"/>
        <w:rPr>
          <w:rtl/>
        </w:rPr>
      </w:pPr>
      <w:r>
        <w:rPr>
          <w:rtl/>
        </w:rPr>
        <w:tab/>
      </w:r>
      <w:r w:rsidR="008A5A51">
        <w:rPr>
          <w:rFonts w:hint="cs"/>
          <w:rtl/>
        </w:rPr>
        <w:t xml:space="preserve">נטען, כי </w:t>
      </w:r>
      <w:r w:rsidR="00C27471">
        <w:rPr>
          <w:rFonts w:hint="cs"/>
          <w:rtl/>
        </w:rPr>
        <w:t xml:space="preserve">הגדרת תא שטח 200 כ"מרכז תחבורה" על השימושים שפורטו לגביו בתכנית, שוללת מהתכנית את מעמדה כתכנית דרך מכיוון שבהגדרת "דרך" בחוק, לא נכללת "חנות נוחות" או כל אלמנט מסחרי אחר. עוד נטען, כי הפתרונות שמצאה הועדה בהחלטה בהתנגדות לקושי זה לא יכולים לעמוד. </w:t>
      </w:r>
    </w:p>
    <w:p w:rsidR="006B53C5" w:rsidRDefault="006B53C5" w:rsidP="006E4A7B">
      <w:pPr>
        <w:spacing w:line="360" w:lineRule="auto"/>
        <w:ind w:hanging="624"/>
        <w:jc w:val="both"/>
        <w:rPr>
          <w:rtl/>
        </w:rPr>
      </w:pPr>
    </w:p>
    <w:p w:rsidR="00C27471" w:rsidRDefault="006E4A7B" w:rsidP="006E4A7B">
      <w:pPr>
        <w:spacing w:line="360" w:lineRule="auto"/>
        <w:ind w:hanging="624"/>
        <w:jc w:val="both"/>
        <w:rPr>
          <w:rtl/>
        </w:rPr>
      </w:pPr>
      <w:r>
        <w:rPr>
          <w:rtl/>
        </w:rPr>
        <w:tab/>
      </w:r>
      <w:r w:rsidR="00C27471">
        <w:rPr>
          <w:rFonts w:hint="cs"/>
          <w:rtl/>
        </w:rPr>
        <w:t xml:space="preserve">העותרת טענה כי במסגרת תכנית קודמת שיזמה משיבה 3 צומצם שטח תחנת הדלק של העותרת באזור משום שזה הופקע לשטח שיועד כ"דרך". </w:t>
      </w:r>
    </w:p>
    <w:p w:rsidR="006B53C5" w:rsidRDefault="006E4A7B" w:rsidP="006E4A7B">
      <w:pPr>
        <w:spacing w:line="360" w:lineRule="auto"/>
        <w:ind w:hanging="624"/>
        <w:jc w:val="both"/>
        <w:rPr>
          <w:rtl/>
        </w:rPr>
      </w:pPr>
      <w:r>
        <w:rPr>
          <w:rtl/>
        </w:rPr>
        <w:tab/>
      </w:r>
      <w:r w:rsidR="00C27471">
        <w:rPr>
          <w:rFonts w:hint="cs"/>
          <w:rtl/>
        </w:rPr>
        <w:t xml:space="preserve">העותרת הוסיפה כי ככל ששטח זה שהופקע אינו דרוש עוד כ"דרך", </w:t>
      </w:r>
      <w:r w:rsidR="007C23C5">
        <w:rPr>
          <w:rFonts w:hint="cs"/>
          <w:rtl/>
        </w:rPr>
        <w:t xml:space="preserve">הרי שיש להשיבו אליה. כן נטען בהקשר זה, כי הגם שהועדה ציינה בהחלטה בהתנגדות כי גם תא שטח 200 יועד להפקעה, אין </w:t>
      </w:r>
      <w:r w:rsidR="007C23C5">
        <w:rPr>
          <w:rFonts w:hint="cs"/>
          <w:rtl/>
        </w:rPr>
        <w:lastRenderedPageBreak/>
        <w:t xml:space="preserve">בכך כדי להכשיר המהלך משום שבהתאם לסעיף 188 לחוק, לא ניתן להפקיע שטח לטובת "מרכז תחבורה". </w:t>
      </w:r>
    </w:p>
    <w:p w:rsidR="007C23C5" w:rsidRDefault="006E4A7B" w:rsidP="006E4A7B">
      <w:pPr>
        <w:spacing w:line="360" w:lineRule="auto"/>
        <w:ind w:hanging="624"/>
        <w:jc w:val="both"/>
        <w:rPr>
          <w:rtl/>
        </w:rPr>
      </w:pPr>
      <w:r>
        <w:rPr>
          <w:rtl/>
        </w:rPr>
        <w:tab/>
      </w:r>
      <w:r w:rsidR="007C23C5">
        <w:rPr>
          <w:rFonts w:hint="cs"/>
          <w:rtl/>
        </w:rPr>
        <w:t>העותרת הוסיפה עוד, כי הועדה יצרה ייעוד מעורפל של "מרכז תחבורה", שהוא לאו דווקא בר ייעוד ציבורי בפועל ואשר רק חלק זניח ממנו נועד למטרה ציבורית של חניית אוטובוסים. בהתאם לכך טענה, כי יש להשיב את השטח המופקע לאחר שפג הצורך הציבורי בהפקעה, היינו לפ</w:t>
      </w:r>
      <w:r w:rsidR="008E27EE">
        <w:rPr>
          <w:rFonts w:hint="cs"/>
          <w:rtl/>
        </w:rPr>
        <w:t xml:space="preserve">צל את תא שטח 200 </w:t>
      </w:r>
      <w:r w:rsidR="008A5A51">
        <w:rPr>
          <w:rFonts w:hint="cs"/>
          <w:rtl/>
        </w:rPr>
        <w:t>ולהחזיר את חלקו</w:t>
      </w:r>
      <w:r w:rsidR="007C23C5">
        <w:rPr>
          <w:rFonts w:hint="cs"/>
          <w:rtl/>
        </w:rPr>
        <w:t xml:space="preserve"> למגרש תחנת הדלק של העותרת. </w:t>
      </w:r>
    </w:p>
    <w:p w:rsidR="008E27EE" w:rsidRDefault="006E4A7B" w:rsidP="006E4A7B">
      <w:pPr>
        <w:spacing w:line="360" w:lineRule="auto"/>
        <w:ind w:hanging="624"/>
        <w:jc w:val="both"/>
        <w:rPr>
          <w:rtl/>
        </w:rPr>
      </w:pPr>
      <w:r>
        <w:rPr>
          <w:rtl/>
        </w:rPr>
        <w:tab/>
      </w:r>
      <w:r w:rsidR="007C23C5">
        <w:rPr>
          <w:rFonts w:hint="cs"/>
          <w:rtl/>
        </w:rPr>
        <w:t xml:space="preserve">לחלופין </w:t>
      </w:r>
      <w:r w:rsidR="008E27EE">
        <w:rPr>
          <w:rFonts w:hint="cs"/>
          <w:rtl/>
        </w:rPr>
        <w:t xml:space="preserve">נטען, כי ככל שמשיבה 1 תעמוד על הפקעת מלוא השטח הנדון, הרי שיש להגדירו כמרכז לתחבורה ציבורית בלבד, היינו למנוע כניסה של רכבים פרטיים ולאסור מתן שירותים מסחריים כלשהם לציבור הרחב. </w:t>
      </w:r>
    </w:p>
    <w:p w:rsidR="00F10FBE" w:rsidRDefault="00F10FBE" w:rsidP="006E4A7B">
      <w:pPr>
        <w:spacing w:line="360" w:lineRule="auto"/>
        <w:ind w:hanging="624"/>
        <w:jc w:val="both"/>
        <w:rPr>
          <w:rtl/>
        </w:rPr>
      </w:pPr>
    </w:p>
    <w:p w:rsidR="00C24E4A" w:rsidRDefault="006E4A7B" w:rsidP="006E4A7B">
      <w:pPr>
        <w:spacing w:line="360" w:lineRule="auto"/>
        <w:ind w:hanging="624"/>
        <w:jc w:val="both"/>
        <w:rPr>
          <w:rtl/>
        </w:rPr>
      </w:pPr>
      <w:r>
        <w:rPr>
          <w:rtl/>
        </w:rPr>
        <w:tab/>
      </w:r>
      <w:r w:rsidR="008E27EE">
        <w:rPr>
          <w:rFonts w:hint="cs"/>
          <w:rtl/>
        </w:rPr>
        <w:t>העותרת הוסיפה וטענה</w:t>
      </w:r>
      <w:r w:rsidR="006B53C5">
        <w:rPr>
          <w:rFonts w:hint="cs"/>
          <w:rtl/>
        </w:rPr>
        <w:t>,</w:t>
      </w:r>
      <w:r w:rsidR="008E27EE">
        <w:rPr>
          <w:rFonts w:hint="cs"/>
          <w:rtl/>
        </w:rPr>
        <w:t xml:space="preserve"> </w:t>
      </w:r>
      <w:r w:rsidR="00094186">
        <w:rPr>
          <w:rFonts w:hint="cs"/>
          <w:rtl/>
        </w:rPr>
        <w:t>כי תא שטח 200, על-פי השימושים שהותרו בו בתכנית המקורית, מהווה למעשה "אזור מנוחה"</w:t>
      </w:r>
      <w:r w:rsidR="00F10FBE">
        <w:rPr>
          <w:rFonts w:hint="cs"/>
          <w:rtl/>
        </w:rPr>
        <w:t xml:space="preserve"> כ</w:t>
      </w:r>
      <w:r w:rsidR="00094186">
        <w:rPr>
          <w:rFonts w:hint="cs"/>
          <w:rtl/>
        </w:rPr>
        <w:t xml:space="preserve">הגדרתו בתמ"א 42. דא עקא, שלאחר </w:t>
      </w:r>
      <w:r w:rsidR="000A4E0B">
        <w:rPr>
          <w:rFonts w:hint="cs"/>
          <w:rtl/>
        </w:rPr>
        <w:t>התרת השימושים של עמדות הטעינה ו</w:t>
      </w:r>
      <w:r w:rsidR="00515466">
        <w:rPr>
          <w:rFonts w:hint="cs"/>
          <w:rtl/>
        </w:rPr>
        <w:t>מבנה חנות הנוחות בגודל של 250 מ</w:t>
      </w:r>
      <w:r w:rsidR="00127E1E">
        <w:rPr>
          <w:rFonts w:hint="cs"/>
          <w:rtl/>
        </w:rPr>
        <w:t>"</w:t>
      </w:r>
      <w:r w:rsidR="00515466">
        <w:rPr>
          <w:rFonts w:hint="cs"/>
          <w:rtl/>
        </w:rPr>
        <w:t>ר במקום, התכנית לא עולה בקנה אחד עם הוראות תמ"א 42, שהיא</w:t>
      </w:r>
      <w:r w:rsidR="00127E1E">
        <w:rPr>
          <w:rFonts w:hint="cs"/>
          <w:rtl/>
        </w:rPr>
        <w:t xml:space="preserve"> כידוע תכנית מת</w:t>
      </w:r>
      <w:r w:rsidR="00515466">
        <w:rPr>
          <w:rFonts w:hint="cs"/>
          <w:rtl/>
        </w:rPr>
        <w:t>אר ארצית שגוברת על כל תכנית, לרבות על התכנית דנן. בהקשר זה צוין</w:t>
      </w:r>
      <w:r w:rsidR="00127E1E">
        <w:rPr>
          <w:rFonts w:hint="cs"/>
          <w:rtl/>
        </w:rPr>
        <w:t>,</w:t>
      </w:r>
      <w:r w:rsidR="00515466">
        <w:rPr>
          <w:rFonts w:hint="cs"/>
          <w:rtl/>
        </w:rPr>
        <w:t xml:space="preserve"> כי אף שתמ"א 42 לא אושרה פורמאלית על-ידי הממשלה</w:t>
      </w:r>
      <w:r w:rsidR="00C24E4A">
        <w:rPr>
          <w:rFonts w:hint="cs"/>
          <w:rtl/>
        </w:rPr>
        <w:t>,</w:t>
      </w:r>
      <w:r w:rsidR="00515466">
        <w:rPr>
          <w:rFonts w:hint="cs"/>
          <w:rtl/>
        </w:rPr>
        <w:t xml:space="preserve"> מוסדות התכנון פועלי</w:t>
      </w:r>
      <w:r w:rsidR="00351B17">
        <w:rPr>
          <w:rFonts w:hint="cs"/>
          <w:rtl/>
        </w:rPr>
        <w:t>ם לאורה, וגם במקרה זה המ</w:t>
      </w:r>
      <w:r w:rsidR="00C24E4A">
        <w:rPr>
          <w:rFonts w:hint="cs"/>
          <w:rtl/>
        </w:rPr>
        <w:t xml:space="preserve">שיבה 1 פעלה בהתאם לתכנית זו כשקבעה כי שטח חנות הנוחות </w:t>
      </w:r>
      <w:r w:rsidR="00127E1E">
        <w:rPr>
          <w:rFonts w:hint="cs"/>
          <w:rtl/>
        </w:rPr>
        <w:t>י</w:t>
      </w:r>
      <w:r w:rsidR="00C24E4A">
        <w:rPr>
          <w:rFonts w:hint="cs"/>
          <w:rtl/>
        </w:rPr>
        <w:t>עמוד על 30 מ"ר.</w:t>
      </w:r>
    </w:p>
    <w:p w:rsidR="00C24E4A" w:rsidRDefault="006E4A7B" w:rsidP="006E4A7B">
      <w:pPr>
        <w:spacing w:line="360" w:lineRule="auto"/>
        <w:ind w:hanging="624"/>
        <w:jc w:val="both"/>
        <w:rPr>
          <w:rtl/>
        </w:rPr>
      </w:pPr>
      <w:r>
        <w:rPr>
          <w:rtl/>
        </w:rPr>
        <w:tab/>
      </w:r>
      <w:r w:rsidR="00C24E4A">
        <w:rPr>
          <w:rFonts w:hint="cs"/>
          <w:rtl/>
        </w:rPr>
        <w:t>העותרת ציינה בהקשר זה</w:t>
      </w:r>
      <w:r w:rsidR="00127E1E">
        <w:rPr>
          <w:rFonts w:hint="cs"/>
          <w:rtl/>
        </w:rPr>
        <w:t>,</w:t>
      </w:r>
      <w:r w:rsidR="00C24E4A">
        <w:rPr>
          <w:rFonts w:hint="cs"/>
          <w:rtl/>
        </w:rPr>
        <w:t xml:space="preserve"> כי גם בפרשנות שנתנה משיבה 1 לגודל שטח החנות היא שגויה, </w:t>
      </w:r>
      <w:r w:rsidR="00AD50B0">
        <w:rPr>
          <w:rFonts w:hint="cs"/>
          <w:rtl/>
        </w:rPr>
        <w:t>כ</w:t>
      </w:r>
      <w:r w:rsidR="00C24E4A">
        <w:rPr>
          <w:rFonts w:hint="cs"/>
          <w:rtl/>
        </w:rPr>
        <w:t>שלשיטתה כל המבנה היה אמור להיות מוגבל לשטח של 30 מ</w:t>
      </w:r>
      <w:r w:rsidR="007B07BD">
        <w:rPr>
          <w:rFonts w:hint="cs"/>
          <w:rtl/>
        </w:rPr>
        <w:t>"</w:t>
      </w:r>
      <w:r w:rsidR="00C24E4A">
        <w:rPr>
          <w:rFonts w:hint="cs"/>
          <w:rtl/>
        </w:rPr>
        <w:t xml:space="preserve">ר ולא רק </w:t>
      </w:r>
      <w:r w:rsidR="007B07BD">
        <w:rPr>
          <w:rFonts w:hint="cs"/>
          <w:rtl/>
        </w:rPr>
        <w:t xml:space="preserve">שטח </w:t>
      </w:r>
      <w:r w:rsidR="00C24E4A">
        <w:rPr>
          <w:rFonts w:hint="cs"/>
          <w:rtl/>
        </w:rPr>
        <w:t>חנות</w:t>
      </w:r>
      <w:r w:rsidR="007B07BD">
        <w:rPr>
          <w:rFonts w:hint="cs"/>
          <w:rtl/>
        </w:rPr>
        <w:t xml:space="preserve"> הנוחות</w:t>
      </w:r>
      <w:r w:rsidR="00C24E4A">
        <w:rPr>
          <w:rFonts w:hint="cs"/>
          <w:rtl/>
        </w:rPr>
        <w:t xml:space="preserve"> בתוך המבנה כפי שנקבע בהחלטה בהתנגדות. </w:t>
      </w:r>
    </w:p>
    <w:p w:rsidR="007B07BD" w:rsidRDefault="007B07BD" w:rsidP="006E4A7B">
      <w:pPr>
        <w:spacing w:line="360" w:lineRule="auto"/>
        <w:ind w:hanging="624"/>
        <w:jc w:val="both"/>
        <w:rPr>
          <w:rtl/>
        </w:rPr>
      </w:pPr>
    </w:p>
    <w:p w:rsidR="007B07BD" w:rsidRDefault="006E4A7B" w:rsidP="006E4A7B">
      <w:pPr>
        <w:spacing w:line="360" w:lineRule="auto"/>
        <w:ind w:hanging="624"/>
        <w:jc w:val="both"/>
        <w:rPr>
          <w:rtl/>
        </w:rPr>
      </w:pPr>
      <w:r>
        <w:rPr>
          <w:rtl/>
        </w:rPr>
        <w:tab/>
      </w:r>
      <w:r w:rsidR="00F7648E">
        <w:rPr>
          <w:rFonts w:hint="cs"/>
          <w:rtl/>
        </w:rPr>
        <w:t xml:space="preserve">העותרת טענה כי הותרת התכנית כמות שהיא יוצרת תחרות בלתי הוגנת </w:t>
      </w:r>
      <w:r w:rsidR="00AD50B0">
        <w:rPr>
          <w:rFonts w:hint="cs"/>
          <w:rtl/>
        </w:rPr>
        <w:t xml:space="preserve">של </w:t>
      </w:r>
      <w:r w:rsidR="00F7648E">
        <w:rPr>
          <w:rFonts w:hint="cs"/>
          <w:rtl/>
        </w:rPr>
        <w:t xml:space="preserve">גוף ממשלתי </w:t>
      </w:r>
      <w:r w:rsidR="00AD50B0">
        <w:rPr>
          <w:rFonts w:hint="cs"/>
          <w:rtl/>
        </w:rPr>
        <w:t xml:space="preserve">מולה </w:t>
      </w:r>
      <w:r w:rsidR="00F7648E">
        <w:rPr>
          <w:rFonts w:hint="cs"/>
          <w:rtl/>
        </w:rPr>
        <w:t>וזאת בשים לב לכך שלעותרת תחנת דלק ש</w:t>
      </w:r>
      <w:r w:rsidR="00AD50B0">
        <w:rPr>
          <w:rFonts w:hint="cs"/>
          <w:rtl/>
        </w:rPr>
        <w:t xml:space="preserve">צמודה </w:t>
      </w:r>
      <w:r w:rsidR="00F7648E">
        <w:rPr>
          <w:rFonts w:hint="cs"/>
          <w:rtl/>
        </w:rPr>
        <w:t>לתא שטח 200 ואשר בה קיימת חנות נוחות ואשר בה היא שואפת להקים תחנה לעמדות טעינה לרכבים חשמליים. העותרת טענה, כי עמדת משיבה 1 בהחלטה בהתנגדות לפיה אין לה מנדט לעסוק בהיבטים המסחריים שעלו היא שגויה ועומדת בניגוד להלכה הפסוקה.</w:t>
      </w:r>
    </w:p>
    <w:p w:rsidR="00F7648E" w:rsidRDefault="00F7648E" w:rsidP="006E4A7B">
      <w:pPr>
        <w:spacing w:line="360" w:lineRule="auto"/>
        <w:ind w:hanging="624"/>
        <w:jc w:val="both"/>
        <w:rPr>
          <w:rtl/>
        </w:rPr>
      </w:pPr>
    </w:p>
    <w:p w:rsidR="00F7648E" w:rsidRDefault="006E4A7B" w:rsidP="006E4A7B">
      <w:pPr>
        <w:spacing w:line="360" w:lineRule="auto"/>
        <w:ind w:hanging="624"/>
        <w:jc w:val="both"/>
        <w:rPr>
          <w:rtl/>
        </w:rPr>
      </w:pPr>
      <w:r>
        <w:rPr>
          <w:rtl/>
        </w:rPr>
        <w:tab/>
      </w:r>
      <w:r w:rsidR="00F7648E">
        <w:rPr>
          <w:rFonts w:hint="cs"/>
          <w:rtl/>
        </w:rPr>
        <w:t xml:space="preserve">העותרת טענה כי גם ההחלטה בבר"ע היא שגויה וכי </w:t>
      </w:r>
      <w:r w:rsidR="00AD50B0">
        <w:rPr>
          <w:rFonts w:hint="cs"/>
          <w:rtl/>
        </w:rPr>
        <w:t>יש</w:t>
      </w:r>
      <w:r w:rsidR="00F7648E">
        <w:rPr>
          <w:rFonts w:hint="cs"/>
          <w:rtl/>
        </w:rPr>
        <w:t xml:space="preserve"> מקום להתערב בה. לטענתה, כל הנ</w:t>
      </w:r>
      <w:r w:rsidR="00AD50B0">
        <w:rPr>
          <w:rFonts w:hint="cs"/>
          <w:rtl/>
        </w:rPr>
        <w:t>ושאים</w:t>
      </w:r>
      <w:r w:rsidR="00F7648E">
        <w:rPr>
          <w:rFonts w:hint="cs"/>
          <w:rtl/>
        </w:rPr>
        <w:t xml:space="preserve"> ש</w:t>
      </w:r>
      <w:r w:rsidR="00AD50B0">
        <w:rPr>
          <w:rFonts w:hint="cs"/>
          <w:rtl/>
        </w:rPr>
        <w:t xml:space="preserve">נדונו </w:t>
      </w:r>
      <w:r w:rsidR="00F7648E">
        <w:rPr>
          <w:rFonts w:hint="cs"/>
          <w:rtl/>
        </w:rPr>
        <w:t>בבר"ע מהווים עניין חשוב אשר יש בו כדי להצדיק התערבות של המועצה הארצית אם בשל היות</w:t>
      </w:r>
      <w:r w:rsidR="002921FE">
        <w:rPr>
          <w:rFonts w:hint="cs"/>
          <w:rtl/>
        </w:rPr>
        <w:t xml:space="preserve">ו בעל השלכה רחבה, אם בשל אופיו העקרוני ואם בשל </w:t>
      </w:r>
      <w:r w:rsidR="00AD50B0">
        <w:rPr>
          <w:rFonts w:hint="cs"/>
          <w:rtl/>
        </w:rPr>
        <w:t>כך שלו רגישות</w:t>
      </w:r>
      <w:r w:rsidR="002921FE">
        <w:rPr>
          <w:rFonts w:hint="cs"/>
          <w:rtl/>
        </w:rPr>
        <w:t xml:space="preserve"> ציבורית מיוחדת.</w:t>
      </w:r>
    </w:p>
    <w:p w:rsidR="002921FE" w:rsidRDefault="006E4A7B" w:rsidP="006E4A7B">
      <w:pPr>
        <w:spacing w:line="360" w:lineRule="auto"/>
        <w:ind w:hanging="624"/>
        <w:jc w:val="both"/>
        <w:rPr>
          <w:rtl/>
        </w:rPr>
      </w:pPr>
      <w:r>
        <w:rPr>
          <w:rtl/>
        </w:rPr>
        <w:tab/>
      </w:r>
      <w:r w:rsidR="002921FE">
        <w:rPr>
          <w:rFonts w:hint="cs"/>
          <w:rtl/>
        </w:rPr>
        <w:t xml:space="preserve">העותרת מיקדה טיעוניה בהקשר זה בטענה שמסמכי התכנית הופקדו בניגוד להחלטת ההפקדה ובניגוד לנימוקים בדיון ההפקדה כשלשיטתה אין מדובר בתקלה פרוצדורלית, כי אם בהתנהלות חמורה, </w:t>
      </w:r>
      <w:r w:rsidR="00AD50B0">
        <w:rPr>
          <w:rFonts w:hint="cs"/>
          <w:rtl/>
        </w:rPr>
        <w:t>היורדת לשורשו של עניין</w:t>
      </w:r>
      <w:r w:rsidR="002921FE">
        <w:rPr>
          <w:rFonts w:hint="cs"/>
          <w:rtl/>
        </w:rPr>
        <w:t xml:space="preserve"> הקשור בסמכויות ועדות המשנה של הועדה המחוזית, ומכאן שמדובר בסוגיה בעל</w:t>
      </w:r>
      <w:r w:rsidR="00AD50B0">
        <w:rPr>
          <w:rFonts w:hint="cs"/>
          <w:rtl/>
        </w:rPr>
        <w:t>ת</w:t>
      </w:r>
      <w:r w:rsidR="002921FE">
        <w:rPr>
          <w:rFonts w:hint="cs"/>
          <w:rtl/>
        </w:rPr>
        <w:t xml:space="preserve"> השלכת רוחב משמעותי</w:t>
      </w:r>
      <w:r w:rsidR="00AD50B0">
        <w:rPr>
          <w:rFonts w:hint="cs"/>
          <w:rtl/>
        </w:rPr>
        <w:t>ת</w:t>
      </w:r>
      <w:r w:rsidR="002921FE">
        <w:rPr>
          <w:rFonts w:hint="cs"/>
          <w:rtl/>
        </w:rPr>
        <w:t xml:space="preserve"> ביותר. </w:t>
      </w:r>
    </w:p>
    <w:p w:rsidR="002921FE" w:rsidRDefault="006E4A7B" w:rsidP="006E4A7B">
      <w:pPr>
        <w:spacing w:line="360" w:lineRule="auto"/>
        <w:ind w:hanging="624"/>
        <w:jc w:val="both"/>
        <w:rPr>
          <w:rtl/>
        </w:rPr>
      </w:pPr>
      <w:r>
        <w:rPr>
          <w:rtl/>
        </w:rPr>
        <w:tab/>
      </w:r>
      <w:r w:rsidR="002921FE">
        <w:rPr>
          <w:rFonts w:hint="cs"/>
          <w:rtl/>
        </w:rPr>
        <w:t xml:space="preserve">בהקשר זה נטען כי התנהלות זו של גורמי התכנון מהווים תקדים בעייתי שנכון היה לאפשר את ליבונו בפני הועדה הארצית. </w:t>
      </w:r>
    </w:p>
    <w:p w:rsidR="00B8791E" w:rsidRDefault="006E4A7B" w:rsidP="006E4A7B">
      <w:pPr>
        <w:spacing w:line="360" w:lineRule="auto"/>
        <w:ind w:hanging="624"/>
        <w:jc w:val="both"/>
        <w:rPr>
          <w:rtl/>
        </w:rPr>
      </w:pPr>
      <w:r>
        <w:rPr>
          <w:rtl/>
        </w:rPr>
        <w:lastRenderedPageBreak/>
        <w:tab/>
      </w:r>
      <w:r w:rsidR="002921FE">
        <w:rPr>
          <w:rFonts w:hint="cs"/>
          <w:rtl/>
        </w:rPr>
        <w:t xml:space="preserve">עוד נטען, כי </w:t>
      </w:r>
      <w:r w:rsidR="00B8791E">
        <w:rPr>
          <w:rFonts w:hint="cs"/>
          <w:rtl/>
        </w:rPr>
        <w:t xml:space="preserve">נכון היה ליתן רשות לערור גם לנוכח שאלת הפרשנות לתמ"א 42 ביחס לאזורי מנוחה שנעשתה לראשונה במקרה זה. </w:t>
      </w:r>
    </w:p>
    <w:p w:rsidR="00D2514A" w:rsidRDefault="00D2514A" w:rsidP="006E4A7B">
      <w:pPr>
        <w:spacing w:line="360" w:lineRule="auto"/>
        <w:ind w:hanging="624"/>
        <w:jc w:val="both"/>
        <w:rPr>
          <w:rtl/>
        </w:rPr>
      </w:pPr>
    </w:p>
    <w:p w:rsidR="00A718DB" w:rsidRDefault="00AD50B0" w:rsidP="006E4A7B">
      <w:pPr>
        <w:spacing w:line="360" w:lineRule="auto"/>
        <w:ind w:hanging="624"/>
        <w:jc w:val="both"/>
        <w:rPr>
          <w:rtl/>
        </w:rPr>
      </w:pPr>
      <w:r>
        <w:rPr>
          <w:rFonts w:hint="cs"/>
          <w:rtl/>
        </w:rPr>
        <w:t>12</w:t>
      </w:r>
      <w:r w:rsidR="00D2514A">
        <w:rPr>
          <w:rFonts w:hint="cs"/>
          <w:rtl/>
        </w:rPr>
        <w:t xml:space="preserve">. </w:t>
      </w:r>
      <w:r w:rsidR="00D2514A">
        <w:rPr>
          <w:rtl/>
        </w:rPr>
        <w:tab/>
      </w:r>
      <w:r w:rsidR="00777014">
        <w:rPr>
          <w:rFonts w:hint="cs"/>
          <w:rtl/>
        </w:rPr>
        <w:t>משיבים 1 ו-2 טענו כי יש לדחות את העתירה. זאת, משום שהחלטת משיבה 1 לאשר את התכנית והחלטת משיב 2 לדחות את ה</w:t>
      </w:r>
      <w:r w:rsidR="00E54CA0">
        <w:rPr>
          <w:rFonts w:hint="cs"/>
          <w:rtl/>
        </w:rPr>
        <w:t>בקשה למתן רשות ערר</w:t>
      </w:r>
      <w:r w:rsidR="00777014">
        <w:rPr>
          <w:rFonts w:hint="cs"/>
          <w:rtl/>
        </w:rPr>
        <w:t xml:space="preserve"> בדין יסודן</w:t>
      </w:r>
      <w:r w:rsidR="00E54CA0">
        <w:rPr>
          <w:rFonts w:hint="cs"/>
          <w:rtl/>
        </w:rPr>
        <w:t xml:space="preserve">, </w:t>
      </w:r>
      <w:r w:rsidR="00777014">
        <w:rPr>
          <w:rFonts w:hint="cs"/>
          <w:rtl/>
        </w:rPr>
        <w:t>ומשום ש</w:t>
      </w:r>
      <w:r w:rsidR="00232131">
        <w:rPr>
          <w:rFonts w:hint="cs"/>
          <w:rtl/>
        </w:rPr>
        <w:t>ה</w:t>
      </w:r>
      <w:r w:rsidR="00777014">
        <w:rPr>
          <w:rFonts w:hint="cs"/>
          <w:rtl/>
        </w:rPr>
        <w:t>עתירה לא מבסס</w:t>
      </w:r>
      <w:r w:rsidR="00232131">
        <w:rPr>
          <w:rFonts w:hint="cs"/>
          <w:rtl/>
        </w:rPr>
        <w:t>ת</w:t>
      </w:r>
      <w:r w:rsidR="00777014">
        <w:rPr>
          <w:rFonts w:hint="cs"/>
          <w:rtl/>
        </w:rPr>
        <w:t xml:space="preserve"> כל עילה מנהלית להתערבות בית המשפט בהחלטות מוסדות התכנון. </w:t>
      </w:r>
    </w:p>
    <w:p w:rsidR="00D2514A" w:rsidRDefault="006E4A7B" w:rsidP="006E4A7B">
      <w:pPr>
        <w:spacing w:line="360" w:lineRule="auto"/>
        <w:ind w:hanging="624"/>
        <w:jc w:val="both"/>
        <w:rPr>
          <w:rtl/>
        </w:rPr>
      </w:pPr>
      <w:r>
        <w:rPr>
          <w:rtl/>
        </w:rPr>
        <w:tab/>
      </w:r>
      <w:r w:rsidR="00A718DB">
        <w:rPr>
          <w:rFonts w:hint="cs"/>
          <w:rtl/>
        </w:rPr>
        <w:t>משיבים 1 ו-2 טענו, כי מלכתחילה מסמכי התכנית שהוגשו ללשכת התכנון בש</w:t>
      </w:r>
      <w:r w:rsidR="00232131">
        <w:rPr>
          <w:rFonts w:hint="cs"/>
          <w:rtl/>
        </w:rPr>
        <w:t>לב הבדיקה התכנונית המוקדמת, הוצע</w:t>
      </w:r>
      <w:r w:rsidR="00A718DB">
        <w:rPr>
          <w:rFonts w:hint="cs"/>
          <w:rtl/>
        </w:rPr>
        <w:t>ו היקפי מסחר משמעותיים בתא שטח 200, של למעלה מ-1,400 מ"ר, כאשר בעקבות הערות של עובדי לשכת התכנון ובעקבות דיון עם נציגי משיבה 3, הוחלט על פרוגרמה מצומצמת יותר לזכויות בנייה שהתבססה על צרכי התחבורה הציבורית. כן צוין, כי בדיון בהפקדה התקיים דיון תכנוני ומקצועי שבו הוצגו התפיסות התכנוניות.</w:t>
      </w:r>
    </w:p>
    <w:p w:rsidR="00A718DB" w:rsidRDefault="00264D09" w:rsidP="006E4A7B">
      <w:pPr>
        <w:spacing w:line="360" w:lineRule="auto"/>
        <w:ind w:hanging="624"/>
        <w:jc w:val="both"/>
        <w:rPr>
          <w:rtl/>
        </w:rPr>
      </w:pPr>
      <w:r>
        <w:rPr>
          <w:rtl/>
        </w:rPr>
        <w:tab/>
      </w:r>
      <w:r w:rsidR="00A718DB">
        <w:rPr>
          <w:rFonts w:hint="cs"/>
          <w:rtl/>
        </w:rPr>
        <w:t>משיבים 1 ו-2 הוסיפו כי הטענה לפער בין התכנית שהופקדה לבין זו שאושרה לא פגעה בזכות הטיעון של העותרת</w:t>
      </w:r>
      <w:r w:rsidR="00232131">
        <w:rPr>
          <w:rFonts w:hint="cs"/>
          <w:rtl/>
        </w:rPr>
        <w:t>, משום שטענות העותרת בהקשר זה נבחנו</w:t>
      </w:r>
      <w:r w:rsidR="0035055A">
        <w:rPr>
          <w:rFonts w:hint="cs"/>
          <w:rtl/>
        </w:rPr>
        <w:t xml:space="preserve"> ואף נתקבלו בחלקן בשלב ההתנגדות.</w:t>
      </w:r>
    </w:p>
    <w:p w:rsidR="0035055A" w:rsidRDefault="00264D09" w:rsidP="006E4A7B">
      <w:pPr>
        <w:spacing w:line="360" w:lineRule="auto"/>
        <w:ind w:hanging="624"/>
        <w:jc w:val="both"/>
        <w:rPr>
          <w:rtl/>
        </w:rPr>
      </w:pPr>
      <w:r>
        <w:rPr>
          <w:rtl/>
        </w:rPr>
        <w:tab/>
      </w:r>
      <w:r w:rsidR="0035055A">
        <w:rPr>
          <w:rFonts w:hint="cs"/>
          <w:rtl/>
        </w:rPr>
        <w:t>מכל מקום, נטען כי אף אם נפל פגם בהליך, הרי שמדובר בפגם פרוצדורלי שלא מצדיק את ביטול החלטת משיבה 1 הן בשל עקרון הבטלות היחסית והן בשל כך שלבסוף כלל הגורמים הרלוונטיים היו מודעים לטענות העותרת במסגרת החלטת ההתנגדות, כך שניתן היה לרפא את הפגם הנטען.</w:t>
      </w:r>
    </w:p>
    <w:p w:rsidR="0035055A" w:rsidRDefault="0035055A" w:rsidP="006E4A7B">
      <w:pPr>
        <w:spacing w:line="360" w:lineRule="auto"/>
        <w:ind w:hanging="624"/>
        <w:jc w:val="both"/>
        <w:rPr>
          <w:rtl/>
        </w:rPr>
      </w:pPr>
    </w:p>
    <w:p w:rsidR="0035055A" w:rsidRDefault="00264D09" w:rsidP="006E4A7B">
      <w:pPr>
        <w:spacing w:line="360" w:lineRule="auto"/>
        <w:ind w:hanging="624"/>
        <w:jc w:val="both"/>
        <w:rPr>
          <w:rtl/>
        </w:rPr>
      </w:pPr>
      <w:r>
        <w:rPr>
          <w:rtl/>
        </w:rPr>
        <w:tab/>
      </w:r>
      <w:r w:rsidR="0035055A">
        <w:rPr>
          <w:rFonts w:hint="cs"/>
          <w:rtl/>
        </w:rPr>
        <w:t>משיבים 1 ו-2</w:t>
      </w:r>
      <w:r w:rsidR="00586222">
        <w:rPr>
          <w:rFonts w:hint="cs"/>
          <w:rtl/>
        </w:rPr>
        <w:t xml:space="preserve"> טענו כי השימושים שהותרו בתא שטח</w:t>
      </w:r>
      <w:r w:rsidR="0035055A">
        <w:rPr>
          <w:rFonts w:hint="cs"/>
          <w:rtl/>
        </w:rPr>
        <w:t xml:space="preserve"> 200 עולים בקנה אחד עם הגדרה של "תכנית דרך"</w:t>
      </w:r>
      <w:r w:rsidR="00CC28B9">
        <w:rPr>
          <w:rFonts w:hint="cs"/>
          <w:rtl/>
        </w:rPr>
        <w:t xml:space="preserve">, ורק מטעמי זהירות </w:t>
      </w:r>
      <w:r w:rsidR="0035055A">
        <w:rPr>
          <w:rFonts w:hint="cs"/>
          <w:rtl/>
        </w:rPr>
        <w:t xml:space="preserve">הוחלט לסווג התכנית במסגרת ההחלטה בהתנגדות כתכנית מתאר מקומית, כאשר צוין ששינוי זה הוא בגדר תיקון טכני שלא משליך על מהות התכנית. </w:t>
      </w:r>
    </w:p>
    <w:p w:rsidR="0035055A" w:rsidRDefault="0035055A" w:rsidP="006E4A7B">
      <w:pPr>
        <w:spacing w:line="360" w:lineRule="auto"/>
        <w:ind w:hanging="624"/>
        <w:jc w:val="both"/>
        <w:rPr>
          <w:rtl/>
        </w:rPr>
      </w:pPr>
    </w:p>
    <w:p w:rsidR="00474BE3" w:rsidRDefault="00264D09" w:rsidP="006E4A7B">
      <w:pPr>
        <w:spacing w:line="360" w:lineRule="auto"/>
        <w:ind w:hanging="624"/>
        <w:jc w:val="both"/>
        <w:rPr>
          <w:rtl/>
        </w:rPr>
      </w:pPr>
      <w:r>
        <w:rPr>
          <w:rtl/>
        </w:rPr>
        <w:tab/>
      </w:r>
      <w:r w:rsidR="0035055A">
        <w:rPr>
          <w:rFonts w:hint="cs"/>
          <w:rtl/>
        </w:rPr>
        <w:t>ביחס לטענות הקשורות לתמ"</w:t>
      </w:r>
      <w:r w:rsidR="00474BE3">
        <w:rPr>
          <w:rFonts w:hint="cs"/>
          <w:rtl/>
        </w:rPr>
        <w:t xml:space="preserve">א 42 נטען, </w:t>
      </w:r>
      <w:r w:rsidR="0035055A">
        <w:rPr>
          <w:rFonts w:hint="cs"/>
          <w:rtl/>
        </w:rPr>
        <w:t>כי בעת הדיון בתכנית תמ"א 42 טרם אושרה על-ידי הממשלה כנדרש בסעיף 53 לחוק, ומכאן שהתכנית לא כפופה לתמ"</w:t>
      </w:r>
      <w:r w:rsidR="00A5367C">
        <w:rPr>
          <w:rFonts w:hint="cs"/>
          <w:rtl/>
        </w:rPr>
        <w:t>א זו</w:t>
      </w:r>
      <w:r w:rsidR="00596C4C">
        <w:rPr>
          <w:rFonts w:hint="cs"/>
          <w:rtl/>
        </w:rPr>
        <w:t xml:space="preserve"> כי אם לתמ"</w:t>
      </w:r>
      <w:r w:rsidR="00474BE3">
        <w:rPr>
          <w:rFonts w:hint="cs"/>
          <w:rtl/>
        </w:rPr>
        <w:t>א 1 אשר מאפשרת את קביעת השימושים האמורים.</w:t>
      </w:r>
    </w:p>
    <w:p w:rsidR="00474BE3" w:rsidRDefault="00474BE3" w:rsidP="006E4A7B">
      <w:pPr>
        <w:spacing w:line="360" w:lineRule="auto"/>
        <w:ind w:hanging="624"/>
        <w:jc w:val="both"/>
        <w:rPr>
          <w:rtl/>
        </w:rPr>
      </w:pPr>
    </w:p>
    <w:p w:rsidR="00596C4C" w:rsidRDefault="00264D09" w:rsidP="006E4A7B">
      <w:pPr>
        <w:spacing w:line="360" w:lineRule="auto"/>
        <w:ind w:hanging="624"/>
        <w:jc w:val="both"/>
        <w:rPr>
          <w:rtl/>
        </w:rPr>
      </w:pPr>
      <w:r>
        <w:rPr>
          <w:rtl/>
        </w:rPr>
        <w:tab/>
      </w:r>
      <w:r w:rsidR="00596C4C">
        <w:rPr>
          <w:rFonts w:hint="cs"/>
          <w:rtl/>
        </w:rPr>
        <w:t xml:space="preserve">בהקשר זה הוסיפו משיבים 1 ו-2 כי אף שבמהלך הדיון נאמרו אמירות הנוגעות לשימושים מסחריים, הרי שיש לפרש אמירות אלה בהתאם לתוצאה הסופית אליה הגיעה הועדה, תוצאה אשר צימצמה כאמור את היקף השטח המסחרי ל-30 מ"ר, היינו הועדה הפעילה שיקול דעת תכנוני מקצועי ומצאה פתרון סביר ומידתי שאין להתערב בו. </w:t>
      </w:r>
    </w:p>
    <w:p w:rsidR="00596C4C" w:rsidRDefault="00596C4C" w:rsidP="006E4A7B">
      <w:pPr>
        <w:spacing w:line="360" w:lineRule="auto"/>
        <w:ind w:hanging="624"/>
        <w:jc w:val="both"/>
        <w:rPr>
          <w:rtl/>
        </w:rPr>
      </w:pPr>
    </w:p>
    <w:p w:rsidR="00474BE3" w:rsidRDefault="00264D09" w:rsidP="006E4A7B">
      <w:pPr>
        <w:spacing w:line="360" w:lineRule="auto"/>
        <w:ind w:hanging="624"/>
        <w:jc w:val="both"/>
        <w:rPr>
          <w:rtl/>
        </w:rPr>
      </w:pPr>
      <w:r>
        <w:rPr>
          <w:rtl/>
        </w:rPr>
        <w:tab/>
      </w:r>
      <w:r w:rsidR="00596C4C">
        <w:rPr>
          <w:rFonts w:hint="cs"/>
          <w:rtl/>
        </w:rPr>
        <w:t xml:space="preserve">משיבים 1 ו-2 חזרו וטענו כי הם אינם עוסקים בשאלה מי יהיה </w:t>
      </w:r>
      <w:r w:rsidR="002602A4">
        <w:rPr>
          <w:rFonts w:hint="cs"/>
          <w:rtl/>
        </w:rPr>
        <w:t>הגורם שיפעיל ויעשה שימוש בשטח ש</w:t>
      </w:r>
      <w:r w:rsidR="00474BE3">
        <w:rPr>
          <w:rFonts w:hint="cs"/>
          <w:rtl/>
        </w:rPr>
        <w:t xml:space="preserve">תוכנן כי </w:t>
      </w:r>
      <w:r w:rsidR="00C40860">
        <w:rPr>
          <w:rFonts w:hint="cs"/>
          <w:rtl/>
        </w:rPr>
        <w:t xml:space="preserve">אם </w:t>
      </w:r>
      <w:r w:rsidR="00474BE3">
        <w:rPr>
          <w:rFonts w:hint="cs"/>
          <w:rtl/>
        </w:rPr>
        <w:t>מתמקדים הם בקביעת הזכויות התכנוניות בלבד.</w:t>
      </w:r>
    </w:p>
    <w:p w:rsidR="00474BE3" w:rsidRDefault="00264D09" w:rsidP="006E4A7B">
      <w:pPr>
        <w:spacing w:line="360" w:lineRule="auto"/>
        <w:ind w:hanging="624"/>
        <w:jc w:val="both"/>
        <w:rPr>
          <w:rtl/>
        </w:rPr>
      </w:pPr>
      <w:r>
        <w:rPr>
          <w:rtl/>
        </w:rPr>
        <w:tab/>
      </w:r>
      <w:r w:rsidR="00474BE3">
        <w:rPr>
          <w:rFonts w:hint="cs"/>
          <w:rtl/>
        </w:rPr>
        <w:t xml:space="preserve">נטען, כי מטעם זה אין מקום שמשיבים 1 ו-2 יתייחסו גם למערכת היחסים שבין העותרת למשיבה 3 שהולכת 20 שנה </w:t>
      </w:r>
      <w:r w:rsidR="00C40860">
        <w:rPr>
          <w:rFonts w:hint="cs"/>
          <w:rtl/>
        </w:rPr>
        <w:t>לאחור.</w:t>
      </w:r>
      <w:r w:rsidR="00474BE3">
        <w:rPr>
          <w:rFonts w:hint="cs"/>
          <w:rtl/>
        </w:rPr>
        <w:t xml:space="preserve"> </w:t>
      </w:r>
    </w:p>
    <w:p w:rsidR="00C13F2B" w:rsidRDefault="00264D09" w:rsidP="006E4A7B">
      <w:pPr>
        <w:spacing w:line="360" w:lineRule="auto"/>
        <w:ind w:hanging="624"/>
        <w:jc w:val="both"/>
        <w:rPr>
          <w:rtl/>
        </w:rPr>
      </w:pPr>
      <w:r>
        <w:rPr>
          <w:rtl/>
        </w:rPr>
        <w:lastRenderedPageBreak/>
        <w:tab/>
      </w:r>
      <w:r w:rsidR="00474BE3">
        <w:rPr>
          <w:rFonts w:hint="cs"/>
          <w:rtl/>
        </w:rPr>
        <w:t xml:space="preserve">משיבים 1 ו-2 טענו </w:t>
      </w:r>
      <w:r w:rsidR="00C13F2B">
        <w:rPr>
          <w:rFonts w:hint="cs"/>
          <w:rtl/>
        </w:rPr>
        <w:t xml:space="preserve">כי יש לדחות את פרשנות העותרת ביחס לסעיף 188 לחוק ולאפשרות הפקעת שטח 200 לטובת מרכז תחבורה. </w:t>
      </w:r>
    </w:p>
    <w:p w:rsidR="00C13F2B" w:rsidRDefault="00264D09" w:rsidP="006E4A7B">
      <w:pPr>
        <w:spacing w:line="360" w:lineRule="auto"/>
        <w:ind w:hanging="624"/>
        <w:jc w:val="both"/>
        <w:rPr>
          <w:rtl/>
        </w:rPr>
      </w:pPr>
      <w:r>
        <w:rPr>
          <w:rtl/>
        </w:rPr>
        <w:tab/>
      </w:r>
      <w:r w:rsidR="00C13F2B">
        <w:rPr>
          <w:rFonts w:hint="cs"/>
          <w:rtl/>
        </w:rPr>
        <w:t xml:space="preserve">ביחס לטענות העותרת לבקשת רשות הערר שנדחתה, </w:t>
      </w:r>
      <w:r w:rsidR="00D147AA">
        <w:rPr>
          <w:rFonts w:hint="cs"/>
          <w:rtl/>
        </w:rPr>
        <w:t xml:space="preserve">נטען כי אלו </w:t>
      </w:r>
      <w:r w:rsidR="00C13F2B">
        <w:rPr>
          <w:rFonts w:hint="cs"/>
          <w:rtl/>
        </w:rPr>
        <w:t>אינן מתייחסות לסוגיות בעלות השלכה ציבורית רחבה או לסוגיות עקרוניות שמ</w:t>
      </w:r>
      <w:r w:rsidR="00EF0FB1">
        <w:rPr>
          <w:rFonts w:hint="cs"/>
          <w:rtl/>
        </w:rPr>
        <w:t xml:space="preserve">צדיקות התערבות של המועצה הארצית. </w:t>
      </w:r>
    </w:p>
    <w:p w:rsidR="00EF0FB1" w:rsidRDefault="00EF0FB1" w:rsidP="006E4A7B">
      <w:pPr>
        <w:spacing w:line="360" w:lineRule="auto"/>
        <w:ind w:hanging="624"/>
        <w:jc w:val="both"/>
        <w:rPr>
          <w:rtl/>
        </w:rPr>
      </w:pPr>
    </w:p>
    <w:p w:rsidR="00EF0FB1" w:rsidRDefault="00264D09" w:rsidP="006E4A7B">
      <w:pPr>
        <w:spacing w:line="360" w:lineRule="auto"/>
        <w:ind w:hanging="624"/>
        <w:jc w:val="both"/>
        <w:rPr>
          <w:rtl/>
        </w:rPr>
      </w:pPr>
      <w:r>
        <w:rPr>
          <w:rtl/>
        </w:rPr>
        <w:tab/>
      </w:r>
      <w:r w:rsidR="00EF0FB1">
        <w:rPr>
          <w:rFonts w:hint="cs"/>
          <w:rtl/>
        </w:rPr>
        <w:t>במישור המשפטי נטען</w:t>
      </w:r>
      <w:r w:rsidR="009A035E">
        <w:rPr>
          <w:rFonts w:hint="cs"/>
          <w:rtl/>
        </w:rPr>
        <w:t>,</w:t>
      </w:r>
      <w:r w:rsidR="00EF0FB1">
        <w:rPr>
          <w:rFonts w:hint="cs"/>
          <w:rtl/>
        </w:rPr>
        <w:t xml:space="preserve"> כי החלטות משיבים 1 ו-2 </w:t>
      </w:r>
      <w:r w:rsidR="009A035E">
        <w:rPr>
          <w:rFonts w:hint="cs"/>
          <w:rtl/>
        </w:rPr>
        <w:t>הן הח</w:t>
      </w:r>
      <w:r w:rsidR="00210CD9">
        <w:rPr>
          <w:rFonts w:hint="cs"/>
          <w:rtl/>
        </w:rPr>
        <w:t>ל</w:t>
      </w:r>
      <w:r w:rsidR="009A035E">
        <w:rPr>
          <w:rFonts w:hint="cs"/>
          <w:rtl/>
        </w:rPr>
        <w:t xml:space="preserve">טות </w:t>
      </w:r>
      <w:r w:rsidR="00EF0FB1">
        <w:rPr>
          <w:rFonts w:hint="cs"/>
          <w:rtl/>
        </w:rPr>
        <w:t xml:space="preserve">מפורטות, שקולות ויסודיות שהתייחסו לכלל הטיעונים של העותרת ואיזנו ביניהם כראוי, על-פי שיקול הדעת המקצועי של משיבה 1 כמוסד תכנוני. </w:t>
      </w:r>
    </w:p>
    <w:p w:rsidR="00EF0FB1" w:rsidRDefault="00264D09" w:rsidP="006E4A7B">
      <w:pPr>
        <w:spacing w:line="360" w:lineRule="auto"/>
        <w:ind w:hanging="624"/>
        <w:jc w:val="both"/>
        <w:rPr>
          <w:rtl/>
        </w:rPr>
      </w:pPr>
      <w:r>
        <w:rPr>
          <w:rtl/>
        </w:rPr>
        <w:tab/>
      </w:r>
      <w:r w:rsidR="00EF0FB1">
        <w:rPr>
          <w:rFonts w:hint="cs"/>
          <w:rtl/>
        </w:rPr>
        <w:t>נטען</w:t>
      </w:r>
      <w:r w:rsidR="009A035E">
        <w:rPr>
          <w:rFonts w:hint="cs"/>
          <w:rtl/>
        </w:rPr>
        <w:t>,</w:t>
      </w:r>
      <w:r w:rsidR="00EF0FB1">
        <w:rPr>
          <w:rFonts w:hint="cs"/>
          <w:rtl/>
        </w:rPr>
        <w:t xml:space="preserve"> כי התכנית אושרה לאחר שננקטו כלל ההליכים ובכלל זאת, שמיעת התנגדויות, לרבות של העותרת, הליכים שלא דבק בהם </w:t>
      </w:r>
      <w:r w:rsidR="009A035E">
        <w:rPr>
          <w:rFonts w:hint="cs"/>
          <w:rtl/>
        </w:rPr>
        <w:t>רבב</w:t>
      </w:r>
      <w:r w:rsidR="00EF0FB1">
        <w:rPr>
          <w:rFonts w:hint="cs"/>
          <w:rtl/>
        </w:rPr>
        <w:t xml:space="preserve"> ואשר התבססו על תשתית עובדתית מלאה ושיקולים מקצועיים.</w:t>
      </w:r>
    </w:p>
    <w:p w:rsidR="00EF0FB1" w:rsidRDefault="00264D09" w:rsidP="006E4A7B">
      <w:pPr>
        <w:spacing w:line="360" w:lineRule="auto"/>
        <w:ind w:hanging="624"/>
        <w:jc w:val="both"/>
        <w:rPr>
          <w:rtl/>
        </w:rPr>
      </w:pPr>
      <w:r>
        <w:rPr>
          <w:rtl/>
        </w:rPr>
        <w:tab/>
      </w:r>
      <w:r w:rsidR="009A035E">
        <w:rPr>
          <w:rFonts w:hint="cs"/>
          <w:rtl/>
        </w:rPr>
        <w:t xml:space="preserve">נטען, </w:t>
      </w:r>
      <w:r w:rsidR="00EF0FB1">
        <w:rPr>
          <w:rFonts w:hint="cs"/>
          <w:rtl/>
        </w:rPr>
        <w:t>כי בהתאם לפסיקה, העקרון המנחה הוא שבית המשפט לא מחליף את שיקול הדעת המקצועי של מוסדות התכנון ואינו יושב כערכאת ערעור על מוסד שכזה, אלא אם נפל פגם חמור בהליך או בהחלטה, פגם אשר אינו מתקיים במקרה זה.</w:t>
      </w:r>
    </w:p>
    <w:p w:rsidR="008A0458" w:rsidRDefault="00264D09" w:rsidP="006E4A7B">
      <w:pPr>
        <w:spacing w:line="360" w:lineRule="auto"/>
        <w:ind w:hanging="624"/>
        <w:jc w:val="both"/>
        <w:rPr>
          <w:rtl/>
        </w:rPr>
      </w:pPr>
      <w:r>
        <w:rPr>
          <w:rtl/>
        </w:rPr>
        <w:tab/>
      </w:r>
      <w:r w:rsidR="00210CD9">
        <w:rPr>
          <w:rFonts w:hint="cs"/>
          <w:rtl/>
        </w:rPr>
        <w:t xml:space="preserve">עוד </w:t>
      </w:r>
      <w:r w:rsidR="008A0458">
        <w:rPr>
          <w:rFonts w:hint="cs"/>
          <w:rtl/>
        </w:rPr>
        <w:t>נטען</w:t>
      </w:r>
      <w:r w:rsidR="009A035E">
        <w:rPr>
          <w:rFonts w:hint="cs"/>
          <w:rtl/>
        </w:rPr>
        <w:t>,</w:t>
      </w:r>
      <w:r w:rsidR="008A0458">
        <w:rPr>
          <w:rFonts w:hint="cs"/>
          <w:rtl/>
        </w:rPr>
        <w:t xml:space="preserve"> כי קבלת הסעדים המבוקשים בעתירה יובילו להתערבות בשיקול הדעת המקצועי של רשויות התכנון, דבר שלא </w:t>
      </w:r>
      <w:r w:rsidR="009A035E">
        <w:rPr>
          <w:rFonts w:hint="cs"/>
          <w:rtl/>
        </w:rPr>
        <w:t>נכון לעשות</w:t>
      </w:r>
      <w:r w:rsidR="008A0458">
        <w:rPr>
          <w:rFonts w:hint="cs"/>
          <w:rtl/>
        </w:rPr>
        <w:t xml:space="preserve"> במקרה דנן משום שהחלטות משיבים 1 ו-2 הן מבוססות וסבירות ואין כל עילה להתערב בהן. </w:t>
      </w:r>
    </w:p>
    <w:p w:rsidR="005E28C2" w:rsidRDefault="005E28C2" w:rsidP="006E4A7B">
      <w:pPr>
        <w:spacing w:line="360" w:lineRule="auto"/>
        <w:ind w:hanging="624"/>
        <w:jc w:val="both"/>
        <w:rPr>
          <w:rtl/>
        </w:rPr>
      </w:pPr>
    </w:p>
    <w:p w:rsidR="005E2BF4" w:rsidRDefault="00210CD9" w:rsidP="00D46D4F">
      <w:pPr>
        <w:spacing w:line="360" w:lineRule="auto"/>
        <w:ind w:hanging="624"/>
        <w:jc w:val="both"/>
        <w:rPr>
          <w:rtl/>
        </w:rPr>
      </w:pPr>
      <w:r>
        <w:rPr>
          <w:rFonts w:hint="cs"/>
          <w:rtl/>
        </w:rPr>
        <w:t>13</w:t>
      </w:r>
      <w:r w:rsidR="005E28C2">
        <w:rPr>
          <w:rFonts w:hint="cs"/>
          <w:rtl/>
        </w:rPr>
        <w:t xml:space="preserve">. </w:t>
      </w:r>
      <w:r w:rsidR="005E28C2">
        <w:rPr>
          <w:rtl/>
        </w:rPr>
        <w:tab/>
      </w:r>
      <w:r w:rsidR="005E28C2">
        <w:rPr>
          <w:rFonts w:hint="cs"/>
          <w:rtl/>
        </w:rPr>
        <w:t xml:space="preserve">משיבה 3 טענה אף היא שיש לדחות את העתירה. משיבה 3 </w:t>
      </w:r>
      <w:r w:rsidR="00CB092A">
        <w:rPr>
          <w:rFonts w:hint="cs"/>
          <w:rtl/>
        </w:rPr>
        <w:t>טענה כי רצון העותרת שלא תהיה לה תחרות לא מהווה שיקול תכנוני ראוי ובכל מקרה, החלטת משיבים 1 ו-2 לתכנן תחנה לתחבורה ציבורית ראויה, הכוללת עמדות טעינה וחנות נוחות</w:t>
      </w:r>
      <w:r w:rsidR="005E2BF4">
        <w:rPr>
          <w:rFonts w:hint="cs"/>
          <w:rtl/>
        </w:rPr>
        <w:t>,</w:t>
      </w:r>
      <w:r w:rsidR="00CB092A">
        <w:rPr>
          <w:rFonts w:hint="cs"/>
          <w:rtl/>
        </w:rPr>
        <w:t xml:space="preserve"> היא החלטה ראויה שאיזנה נכון בין השיקו</w:t>
      </w:r>
      <w:r w:rsidR="005E2BF4">
        <w:rPr>
          <w:rFonts w:hint="cs"/>
          <w:rtl/>
        </w:rPr>
        <w:t>לים השונים ונמצאת במתחם הסבירות.</w:t>
      </w:r>
      <w:r w:rsidR="00CB092A">
        <w:rPr>
          <w:rFonts w:hint="cs"/>
          <w:rtl/>
        </w:rPr>
        <w:t xml:space="preserve"> נטען</w:t>
      </w:r>
      <w:r w:rsidR="005E2BF4">
        <w:rPr>
          <w:rFonts w:hint="cs"/>
          <w:rtl/>
        </w:rPr>
        <w:t>,</w:t>
      </w:r>
      <w:r w:rsidR="00CB092A">
        <w:rPr>
          <w:rFonts w:hint="cs"/>
          <w:rtl/>
        </w:rPr>
        <w:t xml:space="preserve"> כי התכנית עומדת בדרישות ה</w:t>
      </w:r>
      <w:r w:rsidR="005E2BF4">
        <w:rPr>
          <w:rFonts w:hint="cs"/>
          <w:rtl/>
        </w:rPr>
        <w:t>חוק, ומעמדה של התכנית כשלעצמה הי</w:t>
      </w:r>
      <w:r w:rsidR="00CB092A">
        <w:rPr>
          <w:rFonts w:hint="cs"/>
          <w:rtl/>
        </w:rPr>
        <w:t xml:space="preserve">א </w:t>
      </w:r>
      <w:r w:rsidR="005E2BF4">
        <w:rPr>
          <w:rFonts w:hint="cs"/>
          <w:rtl/>
        </w:rPr>
        <w:t xml:space="preserve">של </w:t>
      </w:r>
      <w:r w:rsidR="00CB092A">
        <w:rPr>
          <w:rFonts w:hint="cs"/>
          <w:rtl/>
        </w:rPr>
        <w:t>חיקוק. כפועל יוצא, נקודת המוצא בפרשנות התכנית, בדומה ל</w:t>
      </w:r>
      <w:r>
        <w:rPr>
          <w:rFonts w:hint="cs"/>
          <w:rtl/>
        </w:rPr>
        <w:t xml:space="preserve">פרשנות </w:t>
      </w:r>
      <w:r w:rsidR="00CB092A">
        <w:rPr>
          <w:rFonts w:hint="cs"/>
          <w:rtl/>
        </w:rPr>
        <w:t>חקיקה</w:t>
      </w:r>
      <w:r w:rsidR="005E2BF4">
        <w:rPr>
          <w:rFonts w:hint="cs"/>
          <w:rtl/>
        </w:rPr>
        <w:t>,</w:t>
      </w:r>
      <w:r w:rsidR="00CB092A">
        <w:rPr>
          <w:rFonts w:hint="cs"/>
          <w:rtl/>
        </w:rPr>
        <w:t xml:space="preserve"> </w:t>
      </w:r>
      <w:r w:rsidR="005E2BF4">
        <w:rPr>
          <w:rFonts w:hint="cs"/>
          <w:rtl/>
        </w:rPr>
        <w:t>היא לשון התכנית ואולם נכון להתחק</w:t>
      </w:r>
      <w:r w:rsidR="00CB092A">
        <w:rPr>
          <w:rFonts w:hint="cs"/>
          <w:rtl/>
        </w:rPr>
        <w:t xml:space="preserve">ות גם אחר תכלית התכנית ולהעניק לה פרשנות המגשימה את מטרתה. </w:t>
      </w:r>
      <w:r>
        <w:rPr>
          <w:rFonts w:hint="cs"/>
          <w:rtl/>
        </w:rPr>
        <w:t>מתן פרשנות שכזו מובילה לטענת משיבה 3 לדחיית העתירה.</w:t>
      </w:r>
    </w:p>
    <w:p w:rsidR="005E2BF4" w:rsidRDefault="00264D09" w:rsidP="006E4A7B">
      <w:pPr>
        <w:spacing w:line="360" w:lineRule="auto"/>
        <w:ind w:hanging="624"/>
        <w:jc w:val="both"/>
        <w:rPr>
          <w:rtl/>
        </w:rPr>
      </w:pPr>
      <w:r>
        <w:rPr>
          <w:rtl/>
        </w:rPr>
        <w:tab/>
      </w:r>
      <w:r w:rsidR="00210CD9">
        <w:rPr>
          <w:rFonts w:hint="cs"/>
          <w:rtl/>
        </w:rPr>
        <w:t>משיבה 3 טענה</w:t>
      </w:r>
      <w:r w:rsidR="005E2BF4">
        <w:rPr>
          <w:rFonts w:hint="cs"/>
          <w:rtl/>
        </w:rPr>
        <w:t>,</w:t>
      </w:r>
      <w:r w:rsidR="00C43EAD">
        <w:rPr>
          <w:rFonts w:hint="cs"/>
          <w:rtl/>
        </w:rPr>
        <w:t xml:space="preserve"> כי הצורך הציבורי והצורך המסחרי משתלבים במקרה זה האחד עם השני ואין בשימוש המסחרי, אשר במקרה זה הוא מוגבל, כדי לפסול את הצורך הציבורי, מה שיכול להצדיק את ההפקעה. משיבה 3 הדגישה כי השימוש המסחרי במקרה זה הוא אך נלווה למטרה הציבורית ש</w:t>
      </w:r>
      <w:r w:rsidR="005E2BF4">
        <w:rPr>
          <w:rFonts w:hint="cs"/>
          <w:rtl/>
        </w:rPr>
        <w:t>עומדת בבסיס התכנית והוא מצומצם.</w:t>
      </w:r>
    </w:p>
    <w:p w:rsidR="00F0416F" w:rsidRDefault="00264D09" w:rsidP="006E4A7B">
      <w:pPr>
        <w:spacing w:line="360" w:lineRule="auto"/>
        <w:ind w:hanging="624"/>
        <w:jc w:val="both"/>
        <w:rPr>
          <w:rtl/>
        </w:rPr>
      </w:pPr>
      <w:r>
        <w:rPr>
          <w:rtl/>
        </w:rPr>
        <w:tab/>
      </w:r>
      <w:r w:rsidR="005E2BF4">
        <w:rPr>
          <w:rFonts w:hint="cs"/>
          <w:rtl/>
        </w:rPr>
        <w:t xml:space="preserve">אף משיבה 3 טענה  </w:t>
      </w:r>
      <w:r w:rsidR="00C43EAD">
        <w:rPr>
          <w:rFonts w:hint="cs"/>
          <w:rtl/>
        </w:rPr>
        <w:t xml:space="preserve">כי </w:t>
      </w:r>
      <w:r w:rsidR="003707B7">
        <w:rPr>
          <w:rFonts w:hint="cs"/>
          <w:rtl/>
        </w:rPr>
        <w:t>יש לדחות את הטענה שהתכנית שהופ</w:t>
      </w:r>
      <w:r w:rsidR="005E2BF4">
        <w:rPr>
          <w:rFonts w:hint="cs"/>
          <w:rtl/>
        </w:rPr>
        <w:t>קדה עומדת בניגוד להחלטת ההפקדה.</w:t>
      </w:r>
    </w:p>
    <w:p w:rsidR="00F0416F" w:rsidRDefault="00F0416F" w:rsidP="006E4A7B">
      <w:pPr>
        <w:spacing w:line="360" w:lineRule="auto"/>
        <w:ind w:hanging="624"/>
        <w:jc w:val="both"/>
        <w:rPr>
          <w:rtl/>
        </w:rPr>
      </w:pPr>
    </w:p>
    <w:p w:rsidR="00F0416F" w:rsidRDefault="00D46D4F" w:rsidP="006E4A7B">
      <w:pPr>
        <w:spacing w:line="360" w:lineRule="auto"/>
        <w:ind w:hanging="624"/>
        <w:jc w:val="both"/>
        <w:rPr>
          <w:rtl/>
        </w:rPr>
      </w:pPr>
      <w:r>
        <w:rPr>
          <w:rFonts w:hint="cs"/>
          <w:rtl/>
        </w:rPr>
        <w:t>14</w:t>
      </w:r>
      <w:r w:rsidR="00F0416F">
        <w:rPr>
          <w:rFonts w:hint="cs"/>
          <w:rtl/>
        </w:rPr>
        <w:t xml:space="preserve">. </w:t>
      </w:r>
      <w:r w:rsidR="00F0416F">
        <w:rPr>
          <w:rtl/>
        </w:rPr>
        <w:tab/>
      </w:r>
      <w:r w:rsidR="00F0416F">
        <w:rPr>
          <w:rFonts w:hint="cs"/>
          <w:rtl/>
        </w:rPr>
        <w:t xml:space="preserve">במהלך הדיון שהתקיים חזרו הצדדים על טיעוניהם. </w:t>
      </w:r>
    </w:p>
    <w:p w:rsidR="003874D5" w:rsidRDefault="00264D09" w:rsidP="006E4A7B">
      <w:pPr>
        <w:spacing w:line="360" w:lineRule="auto"/>
        <w:ind w:hanging="624"/>
        <w:jc w:val="both"/>
        <w:rPr>
          <w:rtl/>
        </w:rPr>
      </w:pPr>
      <w:r>
        <w:rPr>
          <w:rtl/>
        </w:rPr>
        <w:tab/>
      </w:r>
      <w:r w:rsidR="00F0416F">
        <w:rPr>
          <w:rFonts w:hint="cs"/>
          <w:rtl/>
        </w:rPr>
        <w:t>ב"כ העותרת אישר שהמניע להתנ</w:t>
      </w:r>
      <w:r w:rsidR="00210CD9">
        <w:rPr>
          <w:rFonts w:hint="cs"/>
          <w:rtl/>
        </w:rPr>
        <w:t>הלות</w:t>
      </w:r>
      <w:r w:rsidR="00F0416F">
        <w:rPr>
          <w:rFonts w:hint="cs"/>
          <w:rtl/>
        </w:rPr>
        <w:t xml:space="preserve"> העותרת הוא מסחרי </w:t>
      </w:r>
      <w:r w:rsidR="00A003A0">
        <w:rPr>
          <w:rFonts w:hint="cs"/>
          <w:rtl/>
        </w:rPr>
        <w:t xml:space="preserve">אך שב וטען </w:t>
      </w:r>
      <w:r w:rsidR="00F0416F">
        <w:rPr>
          <w:rFonts w:hint="cs"/>
          <w:rtl/>
        </w:rPr>
        <w:t xml:space="preserve">כי קיים קושי בכך שגוף ציבורי מנצל את הדלת הפתוחה שניתנה לו "להיכנס למוסדות התכנון ומאשר מתחם מסחרי שכזה". </w:t>
      </w:r>
      <w:r w:rsidR="00A003A0">
        <w:rPr>
          <w:rFonts w:hint="cs"/>
          <w:rtl/>
        </w:rPr>
        <w:t>לצד</w:t>
      </w:r>
      <w:r w:rsidR="00F0416F">
        <w:rPr>
          <w:rFonts w:hint="cs"/>
          <w:rtl/>
        </w:rPr>
        <w:t xml:space="preserve"> זאת, </w:t>
      </w:r>
      <w:r w:rsidR="00A003A0">
        <w:rPr>
          <w:rFonts w:hint="cs"/>
          <w:rtl/>
        </w:rPr>
        <w:t>ב"כ העותרת הבהיר</w:t>
      </w:r>
      <w:r w:rsidR="00F0416F">
        <w:rPr>
          <w:rFonts w:hint="cs"/>
          <w:rtl/>
        </w:rPr>
        <w:t xml:space="preserve"> כי הפניה לבית המשפט נעשתה בשל הפגמים שמצאה </w:t>
      </w:r>
      <w:r w:rsidR="003874D5">
        <w:rPr>
          <w:rFonts w:hint="cs"/>
          <w:rtl/>
        </w:rPr>
        <w:t>העותרת בתכנית ולא בשל המניע המסחרי שלה.</w:t>
      </w:r>
      <w:r w:rsidR="00F0416F">
        <w:rPr>
          <w:rFonts w:hint="cs"/>
          <w:rtl/>
        </w:rPr>
        <w:t xml:space="preserve"> </w:t>
      </w:r>
    </w:p>
    <w:p w:rsidR="003874D5" w:rsidRDefault="003874D5" w:rsidP="006E4A7B">
      <w:pPr>
        <w:spacing w:line="360" w:lineRule="auto"/>
        <w:ind w:hanging="624"/>
        <w:jc w:val="both"/>
        <w:rPr>
          <w:rtl/>
        </w:rPr>
      </w:pPr>
    </w:p>
    <w:p w:rsidR="00F0416F" w:rsidRDefault="00264D09" w:rsidP="006E4A7B">
      <w:pPr>
        <w:spacing w:line="360" w:lineRule="auto"/>
        <w:ind w:hanging="624"/>
        <w:jc w:val="both"/>
        <w:rPr>
          <w:rtl/>
        </w:rPr>
      </w:pPr>
      <w:r>
        <w:rPr>
          <w:rtl/>
        </w:rPr>
        <w:tab/>
      </w:r>
      <w:r w:rsidR="00F0416F">
        <w:rPr>
          <w:rFonts w:hint="cs"/>
          <w:rtl/>
        </w:rPr>
        <w:t>ב"כ העותרת הסכים עם בית המשפט כי במקרה זה שאלת הסמכות והפעלת שיקול הדעת של הרש</w:t>
      </w:r>
      <w:r w:rsidR="003874D5">
        <w:rPr>
          <w:rFonts w:hint="cs"/>
          <w:rtl/>
        </w:rPr>
        <w:t>ות היא לא במוקד טיעוני העותרת אף</w:t>
      </w:r>
      <w:r w:rsidR="00F0416F">
        <w:rPr>
          <w:rFonts w:hint="cs"/>
          <w:rtl/>
        </w:rPr>
        <w:t xml:space="preserve"> שסייג זאת לעניין חנות </w:t>
      </w:r>
      <w:r w:rsidR="00210CD9">
        <w:rPr>
          <w:rFonts w:hint="cs"/>
          <w:rtl/>
        </w:rPr>
        <w:t>ה</w:t>
      </w:r>
      <w:r w:rsidR="00F0416F">
        <w:rPr>
          <w:rFonts w:hint="cs"/>
          <w:rtl/>
        </w:rPr>
        <w:t>נוחות</w:t>
      </w:r>
      <w:r w:rsidR="00210CD9">
        <w:rPr>
          <w:rFonts w:hint="cs"/>
          <w:rtl/>
        </w:rPr>
        <w:t>,</w:t>
      </w:r>
      <w:r w:rsidR="00F0416F">
        <w:rPr>
          <w:rFonts w:hint="cs"/>
          <w:rtl/>
        </w:rPr>
        <w:t xml:space="preserve"> שלה</w:t>
      </w:r>
      <w:r w:rsidR="003874D5">
        <w:rPr>
          <w:rFonts w:hint="cs"/>
          <w:rtl/>
        </w:rPr>
        <w:t>, לטענתנו,</w:t>
      </w:r>
      <w:r w:rsidR="00F0416F">
        <w:rPr>
          <w:rFonts w:hint="cs"/>
          <w:rtl/>
        </w:rPr>
        <w:t xml:space="preserve"> מאפיינים מסחריים מובהקים. </w:t>
      </w:r>
      <w:r w:rsidR="003874D5">
        <w:rPr>
          <w:rFonts w:hint="cs"/>
          <w:rtl/>
        </w:rPr>
        <w:t>ביחס לכך,</w:t>
      </w:r>
      <w:r w:rsidR="00F0416F">
        <w:rPr>
          <w:rFonts w:hint="cs"/>
          <w:rtl/>
        </w:rPr>
        <w:t xml:space="preserve"> שב וטען כי </w:t>
      </w:r>
      <w:r w:rsidR="00210CD9">
        <w:rPr>
          <w:rFonts w:hint="cs"/>
          <w:rtl/>
        </w:rPr>
        <w:t>ההחלטה המקורית של</w:t>
      </w:r>
      <w:r w:rsidR="00F0416F">
        <w:rPr>
          <w:rFonts w:hint="cs"/>
          <w:rtl/>
        </w:rPr>
        <w:t xml:space="preserve"> משיבה 1 </w:t>
      </w:r>
      <w:r w:rsidR="00210CD9">
        <w:rPr>
          <w:rFonts w:hint="cs"/>
          <w:rtl/>
        </w:rPr>
        <w:t xml:space="preserve">הייתה </w:t>
      </w:r>
      <w:r w:rsidR="00F0416F">
        <w:rPr>
          <w:rFonts w:hint="cs"/>
          <w:rtl/>
        </w:rPr>
        <w:t xml:space="preserve">לאסור הקמת מרכז מסחרי, אלא שבפועל </w:t>
      </w:r>
      <w:r w:rsidR="0030532A">
        <w:rPr>
          <w:rFonts w:hint="cs"/>
          <w:rtl/>
        </w:rPr>
        <w:t xml:space="preserve">התכנית שפורסמה אישרה </w:t>
      </w:r>
      <w:r w:rsidR="003874D5">
        <w:rPr>
          <w:rFonts w:hint="cs"/>
          <w:rtl/>
        </w:rPr>
        <w:t xml:space="preserve">הקמת </w:t>
      </w:r>
      <w:r w:rsidR="0030532A">
        <w:rPr>
          <w:rFonts w:hint="cs"/>
          <w:rtl/>
        </w:rPr>
        <w:t>מרכז שכזה.</w:t>
      </w:r>
    </w:p>
    <w:p w:rsidR="003874D5" w:rsidRDefault="00264D09" w:rsidP="00264D09">
      <w:pPr>
        <w:spacing w:line="360" w:lineRule="auto"/>
        <w:ind w:hanging="624"/>
        <w:jc w:val="both"/>
        <w:rPr>
          <w:rtl/>
        </w:rPr>
      </w:pPr>
      <w:r>
        <w:rPr>
          <w:rtl/>
        </w:rPr>
        <w:tab/>
      </w:r>
      <w:r w:rsidR="003874D5">
        <w:rPr>
          <w:rFonts w:hint="cs"/>
          <w:rtl/>
        </w:rPr>
        <w:t xml:space="preserve">בהמשך הדיון, ב"כ העותרת ציין כי "אני מסכים עם בית המשפט שאוטובוס יכול להגיע לשם להתרעננות של נוסעים, אבל זה לא יהפוך את המקום לתחנת אוטובוס ולכן זה לא אומר שמותר לעשות מסחר מפה ועד להודעה חדשה". </w:t>
      </w:r>
    </w:p>
    <w:p w:rsidR="000A2EE5" w:rsidRDefault="00264D09" w:rsidP="00D46D4F">
      <w:pPr>
        <w:spacing w:line="360" w:lineRule="auto"/>
        <w:ind w:hanging="624"/>
        <w:jc w:val="both"/>
        <w:rPr>
          <w:rtl/>
        </w:rPr>
      </w:pPr>
      <w:r>
        <w:rPr>
          <w:rtl/>
        </w:rPr>
        <w:tab/>
      </w:r>
      <w:r w:rsidR="003874D5">
        <w:rPr>
          <w:rFonts w:hint="cs"/>
          <w:rtl/>
        </w:rPr>
        <w:t xml:space="preserve">כשהפנה ב"כ העותרת </w:t>
      </w:r>
      <w:r w:rsidR="0030532A">
        <w:rPr>
          <w:rFonts w:hint="cs"/>
          <w:rtl/>
        </w:rPr>
        <w:t xml:space="preserve">לכך שבתכנית שהוגשה להפקדה צוין כי תהיינה עמדות טעינה חשמלית וחנות נוחות, השיב כי הטיעון שלו </w:t>
      </w:r>
      <w:r w:rsidR="004B26FE">
        <w:rPr>
          <w:rFonts w:hint="cs"/>
          <w:rtl/>
        </w:rPr>
        <w:t>בדבר הפער</w:t>
      </w:r>
      <w:r w:rsidR="0030532A">
        <w:rPr>
          <w:rFonts w:hint="cs"/>
          <w:rtl/>
        </w:rPr>
        <w:t xml:space="preserve"> בין מה שתוכנן למה שהוחלט בסופו של יום מתבסס </w:t>
      </w:r>
      <w:r w:rsidR="00436E8D">
        <w:rPr>
          <w:rFonts w:hint="cs"/>
          <w:rtl/>
        </w:rPr>
        <w:t>על התכנית הראשונה שנדונה בפני הגופים השונים ו</w:t>
      </w:r>
      <w:r w:rsidR="004B26FE">
        <w:rPr>
          <w:rFonts w:hint="cs"/>
          <w:rtl/>
        </w:rPr>
        <w:t xml:space="preserve">בהמשך חזר </w:t>
      </w:r>
      <w:r w:rsidR="00436E8D">
        <w:rPr>
          <w:rFonts w:hint="cs"/>
          <w:rtl/>
        </w:rPr>
        <w:t>על טיעוניו</w:t>
      </w:r>
      <w:r w:rsidR="004B26FE">
        <w:rPr>
          <w:rFonts w:hint="cs"/>
          <w:rtl/>
        </w:rPr>
        <w:t xml:space="preserve"> על אודות כך שהתכנית שפורסמה הוצא</w:t>
      </w:r>
      <w:r w:rsidR="00436E8D">
        <w:rPr>
          <w:rFonts w:hint="cs"/>
          <w:rtl/>
        </w:rPr>
        <w:t xml:space="preserve">ה ללא סמכות </w:t>
      </w:r>
      <w:r w:rsidR="000A2EE5">
        <w:rPr>
          <w:rFonts w:hint="cs"/>
          <w:rtl/>
        </w:rPr>
        <w:t>ובניגוד להנחיות. לשאלת בית המשפט, ב"כ העותרת אישר שאין לו פסיקה להציג כ</w:t>
      </w:r>
      <w:r w:rsidR="00D46D4F">
        <w:rPr>
          <w:rFonts w:hint="cs"/>
          <w:rtl/>
        </w:rPr>
        <w:t>די לתמוך עתירתו לביטול התכנית</w:t>
      </w:r>
      <w:r w:rsidR="000A2EE5">
        <w:rPr>
          <w:rFonts w:hint="cs"/>
          <w:rtl/>
        </w:rPr>
        <w:t xml:space="preserve"> בשל הפער הנטען בין הדברים שנאמרו בדיון לקראת ההפקדה לבין התכנית שהופקדה.</w:t>
      </w:r>
    </w:p>
    <w:p w:rsidR="00121DFA" w:rsidRDefault="00264D09" w:rsidP="00264D09">
      <w:pPr>
        <w:spacing w:line="360" w:lineRule="auto"/>
        <w:ind w:hanging="624"/>
        <w:jc w:val="both"/>
      </w:pPr>
      <w:r>
        <w:rPr>
          <w:rtl/>
        </w:rPr>
        <w:tab/>
      </w:r>
      <w:r w:rsidR="00121DFA">
        <w:rPr>
          <w:rFonts w:hint="cs"/>
          <w:rtl/>
        </w:rPr>
        <w:t>ביחס להשבת חלק מהשטח שהופקע מהעותרת בעבר, טען כי מרבית האלמנטים שאושרו הם לא ציבוריים אלא מסחריים ובנסיבות אלו, בהתאם לדין, יש מקום להחזיר את אותו חלק מהשטח.</w:t>
      </w:r>
      <w:r w:rsidR="002340C6">
        <w:rPr>
          <w:rFonts w:hint="cs"/>
          <w:rtl/>
        </w:rPr>
        <w:t xml:space="preserve"> עוד טען ב"כ העותרת, כי שגתה משיבה 1 כאשר לא מצאה לשקול במסגרת שיקוליה גם את שיקול התחרות הלא הוגנת שנוצרה בין העותרת לבין משיבה 3. </w:t>
      </w:r>
    </w:p>
    <w:p w:rsidR="000A2EE5" w:rsidRDefault="000A2EE5" w:rsidP="00264D09">
      <w:pPr>
        <w:spacing w:line="360" w:lineRule="auto"/>
        <w:ind w:hanging="624"/>
        <w:jc w:val="both"/>
        <w:rPr>
          <w:rtl/>
        </w:rPr>
      </w:pPr>
      <w:r>
        <w:tab/>
      </w:r>
    </w:p>
    <w:p w:rsidR="00D723CD" w:rsidRDefault="00264D09" w:rsidP="00264D09">
      <w:pPr>
        <w:spacing w:line="360" w:lineRule="auto"/>
        <w:ind w:hanging="624"/>
        <w:jc w:val="both"/>
        <w:rPr>
          <w:rtl/>
        </w:rPr>
      </w:pPr>
      <w:r>
        <w:rPr>
          <w:rtl/>
        </w:rPr>
        <w:tab/>
      </w:r>
      <w:r w:rsidR="00D723CD">
        <w:rPr>
          <w:rFonts w:hint="cs"/>
          <w:rtl/>
        </w:rPr>
        <w:t>ב"כ משיבים 1 ו-2 שבה וציינה כי הטענה בדבר קיומו של פער בין שנאמר בדיונים אצל משיבה 1 לבין התכנית שהופקדה מבוסס על פרשנות של העותרת ולא על התכניות שהוצגו מלכתח</w:t>
      </w:r>
      <w:r w:rsidR="00990686">
        <w:rPr>
          <w:rFonts w:hint="cs"/>
          <w:rtl/>
        </w:rPr>
        <w:t xml:space="preserve">ילה, מה עוד שלעותרת היה את יומה בפני משיבה 1 בשלב ההתנגדות. </w:t>
      </w:r>
    </w:p>
    <w:p w:rsidR="002340C6" w:rsidRDefault="002340C6" w:rsidP="00264D09">
      <w:pPr>
        <w:spacing w:line="360" w:lineRule="auto"/>
        <w:ind w:hanging="624"/>
        <w:jc w:val="both"/>
        <w:rPr>
          <w:rtl/>
        </w:rPr>
      </w:pPr>
    </w:p>
    <w:p w:rsidR="00990686" w:rsidRDefault="00621A4F" w:rsidP="00D46D4F">
      <w:pPr>
        <w:spacing w:line="360" w:lineRule="auto"/>
        <w:ind w:hanging="624"/>
        <w:jc w:val="both"/>
        <w:rPr>
          <w:rtl/>
        </w:rPr>
      </w:pPr>
      <w:r>
        <w:rPr>
          <w:rtl/>
        </w:rPr>
        <w:tab/>
      </w:r>
      <w:r w:rsidR="002340C6">
        <w:rPr>
          <w:rFonts w:hint="cs"/>
          <w:rtl/>
        </w:rPr>
        <w:t>ב</w:t>
      </w:r>
      <w:r w:rsidR="00990686">
        <w:rPr>
          <w:rFonts w:hint="cs"/>
          <w:rtl/>
        </w:rPr>
        <w:t>"כ משיבה 3 טענה</w:t>
      </w:r>
      <w:r w:rsidR="002340C6">
        <w:rPr>
          <w:rFonts w:hint="cs"/>
          <w:rtl/>
        </w:rPr>
        <w:t xml:space="preserve"> כי לא קיים פער בין שנאמר בדיונים אצל </w:t>
      </w:r>
      <w:r w:rsidR="00990686">
        <w:rPr>
          <w:rFonts w:hint="cs"/>
          <w:rtl/>
        </w:rPr>
        <w:t>משיבה 1 לבין התכנית שהופקדה. ב"כ המשיבה 3 טענה אף היא כי מדובר בפרשנות שגויה של העותרת, והוסיפה כי משיבה 1 התייחסה בדיונים באופן אינטגר</w:t>
      </w:r>
      <w:r w:rsidR="002340C6">
        <w:rPr>
          <w:rFonts w:hint="cs"/>
          <w:rtl/>
        </w:rPr>
        <w:t>א</w:t>
      </w:r>
      <w:r w:rsidR="00990686">
        <w:rPr>
          <w:rFonts w:hint="cs"/>
          <w:rtl/>
        </w:rPr>
        <w:t xml:space="preserve">לי לאותה תחנה לתחבורה ציבורית או לאותו מרכז לתחבורה ציבורית וקבעה </w:t>
      </w:r>
      <w:r w:rsidR="00101925">
        <w:rPr>
          <w:rFonts w:hint="cs"/>
          <w:rtl/>
        </w:rPr>
        <w:t>מהם</w:t>
      </w:r>
      <w:r w:rsidR="00990686">
        <w:rPr>
          <w:rFonts w:hint="cs"/>
          <w:rtl/>
        </w:rPr>
        <w:t xml:space="preserve"> השימושים המותרים. עוד </w:t>
      </w:r>
      <w:r w:rsidR="00101925">
        <w:rPr>
          <w:rFonts w:hint="cs"/>
          <w:rtl/>
        </w:rPr>
        <w:t xml:space="preserve">הבהירה משיבה 3, </w:t>
      </w:r>
      <w:r w:rsidR="00990686">
        <w:rPr>
          <w:rFonts w:hint="cs"/>
          <w:rtl/>
        </w:rPr>
        <w:t>כי לא יהיה זה נכון לת</w:t>
      </w:r>
      <w:r w:rsidR="00743991">
        <w:rPr>
          <w:rFonts w:hint="cs"/>
          <w:rtl/>
        </w:rPr>
        <w:t xml:space="preserve">כנן מרכז תחבורה לא טוב או ירוד באופן שאדם שמגיע אליו לא יכול לרכוש כוס מים רק כדי להלום את הצרכים המסחריים של השכן. </w:t>
      </w:r>
    </w:p>
    <w:p w:rsidR="00743991" w:rsidRDefault="00743991" w:rsidP="00264D09">
      <w:pPr>
        <w:spacing w:line="360" w:lineRule="auto"/>
        <w:ind w:hanging="624"/>
        <w:jc w:val="both"/>
        <w:rPr>
          <w:rtl/>
        </w:rPr>
      </w:pPr>
    </w:p>
    <w:p w:rsidR="00FC0D8A" w:rsidRDefault="00621A4F" w:rsidP="00264D09">
      <w:pPr>
        <w:spacing w:line="360" w:lineRule="auto"/>
        <w:ind w:hanging="624"/>
        <w:jc w:val="both"/>
        <w:rPr>
          <w:rtl/>
        </w:rPr>
      </w:pPr>
      <w:r>
        <w:rPr>
          <w:rtl/>
        </w:rPr>
        <w:tab/>
      </w:r>
      <w:r w:rsidR="00A81599">
        <w:rPr>
          <w:rFonts w:hint="cs"/>
          <w:rtl/>
        </w:rPr>
        <w:t xml:space="preserve">עם תום הדיון בית המשפט העיר מספר הערות וב"כ העותרת </w:t>
      </w:r>
      <w:r w:rsidR="00B733E7">
        <w:rPr>
          <w:rFonts w:hint="cs"/>
          <w:rtl/>
        </w:rPr>
        <w:t>התבקש</w:t>
      </w:r>
      <w:r w:rsidR="00A81599">
        <w:rPr>
          <w:rFonts w:hint="cs"/>
          <w:rtl/>
        </w:rPr>
        <w:t xml:space="preserve"> לבדוק את עמדת העותרת, ובחלוף מספר ימים הודיע שהעותרת </w:t>
      </w:r>
      <w:r w:rsidR="0045074F">
        <w:rPr>
          <w:rFonts w:hint="cs"/>
          <w:rtl/>
        </w:rPr>
        <w:t xml:space="preserve">עומדת על עתירתה ומבקשת שיינתן פסק דין. </w:t>
      </w:r>
    </w:p>
    <w:p w:rsidR="00FC0D8A" w:rsidRDefault="00621A4F" w:rsidP="00D46D4F">
      <w:pPr>
        <w:spacing w:line="360" w:lineRule="auto"/>
        <w:ind w:hanging="624"/>
        <w:jc w:val="both"/>
        <w:rPr>
          <w:rtl/>
        </w:rPr>
      </w:pPr>
      <w:r>
        <w:rPr>
          <w:rtl/>
        </w:rPr>
        <w:tab/>
      </w:r>
      <w:r w:rsidR="00FC0D8A">
        <w:rPr>
          <w:rFonts w:hint="cs"/>
          <w:rtl/>
        </w:rPr>
        <w:t>בהודעתה העותרת שבה וציינה כי הסוגיה המרכזית שעל הפרק היא האפשרות להקים חנות נוחות על שטח המיועד כ"דרך".</w:t>
      </w:r>
    </w:p>
    <w:p w:rsidR="00FC0D8A" w:rsidRDefault="00FC0D8A" w:rsidP="00264D09">
      <w:pPr>
        <w:spacing w:line="360" w:lineRule="auto"/>
        <w:ind w:hanging="624"/>
        <w:jc w:val="both"/>
        <w:rPr>
          <w:rtl/>
        </w:rPr>
      </w:pPr>
      <w:r>
        <w:rPr>
          <w:rFonts w:hint="cs"/>
          <w:rtl/>
        </w:rPr>
        <w:t xml:space="preserve"> </w:t>
      </w:r>
      <w:r>
        <w:rPr>
          <w:rFonts w:hint="cs"/>
          <w:rtl/>
        </w:rPr>
        <w:tab/>
        <w:t xml:space="preserve">מכאן פסק דין זה. </w:t>
      </w:r>
    </w:p>
    <w:p w:rsidR="00C24E4A" w:rsidRDefault="00C24E4A" w:rsidP="00264D09">
      <w:pPr>
        <w:spacing w:line="360" w:lineRule="auto"/>
        <w:ind w:hanging="624"/>
        <w:jc w:val="both"/>
        <w:rPr>
          <w:rtl/>
        </w:rPr>
      </w:pPr>
    </w:p>
    <w:p w:rsidR="005E2BF4" w:rsidRPr="005E2BF4" w:rsidRDefault="00264D09" w:rsidP="00264D09">
      <w:pPr>
        <w:spacing w:line="360" w:lineRule="auto"/>
        <w:ind w:hanging="624"/>
        <w:jc w:val="both"/>
        <w:rPr>
          <w:b/>
          <w:bCs/>
          <w:u w:val="single"/>
          <w:rtl/>
        </w:rPr>
      </w:pPr>
      <w:r>
        <w:rPr>
          <w:rtl/>
        </w:rPr>
        <w:lastRenderedPageBreak/>
        <w:tab/>
      </w:r>
      <w:r w:rsidR="005E2BF4">
        <w:rPr>
          <w:rFonts w:hint="cs"/>
          <w:b/>
          <w:bCs/>
          <w:u w:val="single"/>
          <w:rtl/>
        </w:rPr>
        <w:t>דיון והכרעה</w:t>
      </w:r>
    </w:p>
    <w:p w:rsidR="00FC0D8A" w:rsidRDefault="00D46D4F" w:rsidP="00264D09">
      <w:pPr>
        <w:spacing w:line="360" w:lineRule="auto"/>
        <w:ind w:hanging="624"/>
        <w:jc w:val="both"/>
        <w:rPr>
          <w:rtl/>
        </w:rPr>
      </w:pPr>
      <w:r>
        <w:rPr>
          <w:rFonts w:hint="cs"/>
          <w:rtl/>
        </w:rPr>
        <w:t>15</w:t>
      </w:r>
      <w:r w:rsidR="00FC0D8A">
        <w:rPr>
          <w:rFonts w:hint="cs"/>
          <w:rtl/>
        </w:rPr>
        <w:t>.</w:t>
      </w:r>
      <w:r w:rsidR="00FC0D8A">
        <w:rPr>
          <w:rtl/>
        </w:rPr>
        <w:tab/>
      </w:r>
      <w:r w:rsidR="005E2BF4">
        <w:rPr>
          <w:rFonts w:hint="cs"/>
          <w:rtl/>
        </w:rPr>
        <w:t>לאחר שבחנתי את טיעוני הצדדים ו</w:t>
      </w:r>
      <w:r w:rsidR="00B733E7">
        <w:rPr>
          <w:rFonts w:hint="cs"/>
          <w:rtl/>
        </w:rPr>
        <w:t xml:space="preserve">את </w:t>
      </w:r>
      <w:r w:rsidR="005E2BF4">
        <w:rPr>
          <w:rFonts w:hint="cs"/>
          <w:rtl/>
        </w:rPr>
        <w:t xml:space="preserve">החומר שהוצג לפני, הגעתי למסקנה לפיה יש לדחות את העתירה. </w:t>
      </w:r>
    </w:p>
    <w:p w:rsidR="005E2BF4" w:rsidRDefault="005E2BF4" w:rsidP="00264D09">
      <w:pPr>
        <w:spacing w:line="360" w:lineRule="auto"/>
        <w:ind w:hanging="624"/>
        <w:jc w:val="both"/>
        <w:rPr>
          <w:rtl/>
        </w:rPr>
      </w:pPr>
    </w:p>
    <w:p w:rsidR="00A06ADC" w:rsidRDefault="00D46D4F" w:rsidP="00264D09">
      <w:pPr>
        <w:spacing w:line="360" w:lineRule="auto"/>
        <w:ind w:hanging="624"/>
        <w:jc w:val="both"/>
        <w:rPr>
          <w:rtl/>
        </w:rPr>
      </w:pPr>
      <w:r>
        <w:rPr>
          <w:rFonts w:hint="cs"/>
          <w:rtl/>
        </w:rPr>
        <w:t>16</w:t>
      </w:r>
      <w:r w:rsidR="005E2BF4">
        <w:rPr>
          <w:rFonts w:hint="cs"/>
          <w:rtl/>
        </w:rPr>
        <w:t>.</w:t>
      </w:r>
      <w:r w:rsidR="005E2BF4">
        <w:rPr>
          <w:rFonts w:hint="cs"/>
          <w:rtl/>
        </w:rPr>
        <w:tab/>
        <w:t xml:space="preserve">כפי שפורט מעלה, </w:t>
      </w:r>
      <w:r w:rsidR="0015473C">
        <w:rPr>
          <w:rFonts w:hint="cs"/>
          <w:rtl/>
        </w:rPr>
        <w:t xml:space="preserve">לארבעה סעדים מרכזיים עותרת העותרת. </w:t>
      </w:r>
    </w:p>
    <w:p w:rsidR="005E2BF4" w:rsidRDefault="00621A4F" w:rsidP="00264D09">
      <w:pPr>
        <w:spacing w:line="360" w:lineRule="auto"/>
        <w:ind w:hanging="624"/>
        <w:jc w:val="both"/>
        <w:rPr>
          <w:rtl/>
        </w:rPr>
      </w:pPr>
      <w:r>
        <w:rPr>
          <w:rtl/>
        </w:rPr>
        <w:tab/>
      </w:r>
      <w:r w:rsidR="0015473C">
        <w:rPr>
          <w:rFonts w:hint="cs"/>
          <w:rtl/>
        </w:rPr>
        <w:t>הראשון, לבטל את השימוש בחנות נוחות כשימוש מותר בתא שטח 200; השני, לבטל את השימוש בעמדות טעינה חשמליות ב</w:t>
      </w:r>
      <w:r w:rsidR="00570A90">
        <w:rPr>
          <w:rFonts w:hint="cs"/>
          <w:rtl/>
        </w:rPr>
        <w:t xml:space="preserve">תא </w:t>
      </w:r>
      <w:r w:rsidR="0015473C">
        <w:rPr>
          <w:rFonts w:hint="cs"/>
          <w:rtl/>
        </w:rPr>
        <w:t>שטח</w:t>
      </w:r>
      <w:r w:rsidR="00570A90">
        <w:rPr>
          <w:rFonts w:hint="cs"/>
          <w:rtl/>
        </w:rPr>
        <w:t xml:space="preserve"> 200</w:t>
      </w:r>
      <w:r w:rsidR="0015473C">
        <w:rPr>
          <w:rFonts w:hint="cs"/>
          <w:rtl/>
        </w:rPr>
        <w:t>; השלישי, לשנות את י</w:t>
      </w:r>
      <w:r w:rsidR="00570A90">
        <w:rPr>
          <w:rFonts w:hint="cs"/>
          <w:rtl/>
        </w:rPr>
        <w:t>י</w:t>
      </w:r>
      <w:r w:rsidR="0015473C">
        <w:rPr>
          <w:rFonts w:hint="cs"/>
          <w:rtl/>
        </w:rPr>
        <w:t xml:space="preserve">עוד תא שטח 200 שבתכנית </w:t>
      </w:r>
      <w:r w:rsidR="0015781C">
        <w:rPr>
          <w:rFonts w:hint="cs"/>
          <w:rtl/>
        </w:rPr>
        <w:t xml:space="preserve">ממרכז תחבורה ליעוד דרך או ליעוד מרכז תחבורה ציבורית; והרביעי, </w:t>
      </w:r>
      <w:r w:rsidR="00BD34B6">
        <w:rPr>
          <w:rFonts w:hint="cs"/>
          <w:rtl/>
        </w:rPr>
        <w:t xml:space="preserve">לפצל את תא שטח 200 ולהחזיר חלק ממנו לעותרת. </w:t>
      </w:r>
    </w:p>
    <w:p w:rsidR="00BD34B6" w:rsidRDefault="00BD34B6" w:rsidP="00264D09">
      <w:pPr>
        <w:spacing w:line="360" w:lineRule="auto"/>
        <w:ind w:hanging="624"/>
        <w:jc w:val="both"/>
        <w:rPr>
          <w:rtl/>
        </w:rPr>
      </w:pPr>
      <w:r>
        <w:rPr>
          <w:rtl/>
        </w:rPr>
        <w:tab/>
      </w:r>
      <w:r>
        <w:rPr>
          <w:rFonts w:hint="cs"/>
          <w:rtl/>
        </w:rPr>
        <w:t xml:space="preserve">הלכה למעשה, </w:t>
      </w:r>
      <w:r w:rsidR="005C35D9">
        <w:rPr>
          <w:rFonts w:hint="cs"/>
          <w:rtl/>
        </w:rPr>
        <w:t>ב"כ העותרת מבקש שבית המשפט יהפוך למתכנן-על ויקבע מה י</w:t>
      </w:r>
      <w:r w:rsidR="00570A90">
        <w:rPr>
          <w:rFonts w:hint="cs"/>
          <w:rtl/>
        </w:rPr>
        <w:t>י</w:t>
      </w:r>
      <w:r w:rsidR="005C35D9">
        <w:rPr>
          <w:rFonts w:hint="cs"/>
          <w:rtl/>
        </w:rPr>
        <w:t>עשה ב</w:t>
      </w:r>
      <w:r w:rsidR="00B9272F">
        <w:rPr>
          <w:rFonts w:hint="cs"/>
          <w:rtl/>
        </w:rPr>
        <w:t>תא ה</w:t>
      </w:r>
      <w:r w:rsidR="005C35D9">
        <w:rPr>
          <w:rFonts w:hint="cs"/>
          <w:rtl/>
        </w:rPr>
        <w:t>שטח המדובר. הווה אומר, העותרת מבקשת מבית המשפט להתערב באופן בוטה בליבת שיקול הדעת של גופי התכנון.</w:t>
      </w:r>
    </w:p>
    <w:p w:rsidR="00893005" w:rsidRDefault="005C35D9" w:rsidP="00893005">
      <w:pPr>
        <w:spacing w:line="360" w:lineRule="auto"/>
        <w:ind w:left="794" w:right="1134"/>
        <w:jc w:val="both"/>
        <w:rPr>
          <w:rtl/>
        </w:rPr>
      </w:pPr>
      <w:r>
        <w:rPr>
          <w:rFonts w:hint="cs"/>
          <w:rtl/>
        </w:rPr>
        <w:t>"</w:t>
      </w:r>
      <w:r>
        <w:rPr>
          <w:rFonts w:hint="cs"/>
          <w:b/>
          <w:bCs/>
          <w:rtl/>
        </w:rPr>
        <w:t>נקודת המוצא היא שאין בית המשפט משמש כ</w:t>
      </w:r>
      <w:r w:rsidR="002E7AEC">
        <w:rPr>
          <w:rFonts w:hint="cs"/>
          <w:b/>
          <w:bCs/>
          <w:rtl/>
        </w:rPr>
        <w:t xml:space="preserve">טריבונל </w:t>
      </w:r>
      <w:r>
        <w:rPr>
          <w:rFonts w:hint="cs"/>
          <w:b/>
          <w:bCs/>
          <w:rtl/>
        </w:rPr>
        <w:t>ת</w:t>
      </w:r>
      <w:r w:rsidR="00160316">
        <w:rPr>
          <w:rFonts w:hint="cs"/>
          <w:b/>
          <w:bCs/>
          <w:rtl/>
        </w:rPr>
        <w:t>י</w:t>
      </w:r>
      <w:r>
        <w:rPr>
          <w:rFonts w:hint="cs"/>
          <w:b/>
          <w:bCs/>
          <w:rtl/>
        </w:rPr>
        <w:t>כנון</w:t>
      </w:r>
      <w:r w:rsidR="00570A90">
        <w:rPr>
          <w:rFonts w:hint="cs"/>
          <w:b/>
          <w:bCs/>
          <w:rtl/>
        </w:rPr>
        <w:t>,</w:t>
      </w:r>
      <w:r>
        <w:rPr>
          <w:rFonts w:hint="cs"/>
          <w:b/>
          <w:bCs/>
          <w:rtl/>
        </w:rPr>
        <w:t xml:space="preserve"> ואינו מ</w:t>
      </w:r>
      <w:r w:rsidR="00570A90">
        <w:rPr>
          <w:rFonts w:hint="cs"/>
          <w:b/>
          <w:bCs/>
          <w:rtl/>
        </w:rPr>
        <w:t>שים</w:t>
      </w:r>
      <w:r>
        <w:rPr>
          <w:rFonts w:hint="cs"/>
          <w:b/>
          <w:bCs/>
          <w:rtl/>
        </w:rPr>
        <w:t xml:space="preserve"> עצמו מומחה מקצועי לבחינתם של שיקולים תכנוניים. מכאן, שאין בית המשפט יושב כערכאת </w:t>
      </w:r>
      <w:r w:rsidR="00160316">
        <w:rPr>
          <w:rFonts w:hint="cs"/>
          <w:b/>
          <w:bCs/>
          <w:rtl/>
        </w:rPr>
        <w:t>ערעור על שיקוליה התכנוניים של רשו</w:t>
      </w:r>
      <w:r>
        <w:rPr>
          <w:rFonts w:hint="cs"/>
          <w:b/>
          <w:bCs/>
          <w:rtl/>
        </w:rPr>
        <w:t>ת התכנון ואינו ממיר את שיקול דעתו של מוסד התכנון בשיקול דעתו שלו</w:t>
      </w:r>
      <w:r>
        <w:rPr>
          <w:rFonts w:hint="cs"/>
          <w:rtl/>
        </w:rPr>
        <w:t>"</w:t>
      </w:r>
      <w:r w:rsidR="00893005">
        <w:rPr>
          <w:rFonts w:hint="cs"/>
          <w:rtl/>
        </w:rPr>
        <w:t xml:space="preserve">. </w:t>
      </w:r>
    </w:p>
    <w:p w:rsidR="005C35D9" w:rsidRDefault="00621A4F" w:rsidP="00621A4F">
      <w:pPr>
        <w:spacing w:line="360" w:lineRule="auto"/>
        <w:ind w:left="-57" w:hanging="567"/>
        <w:jc w:val="both"/>
        <w:rPr>
          <w:rtl/>
        </w:rPr>
      </w:pPr>
      <w:r>
        <w:rPr>
          <w:rtl/>
        </w:rPr>
        <w:tab/>
      </w:r>
      <w:r w:rsidR="00583866">
        <w:rPr>
          <w:rFonts w:hint="cs"/>
          <w:rtl/>
        </w:rPr>
        <w:t xml:space="preserve">(עע"מ 317/10 </w:t>
      </w:r>
      <w:r w:rsidR="00583866">
        <w:rPr>
          <w:rFonts w:hint="cs"/>
          <w:b/>
          <w:bCs/>
          <w:rtl/>
        </w:rPr>
        <w:t xml:space="preserve">שפר נ' יניב ואח' </w:t>
      </w:r>
      <w:r w:rsidR="00583866">
        <w:rPr>
          <w:rFonts w:hint="cs"/>
          <w:rtl/>
        </w:rPr>
        <w:t>(פורסם בנבו, 23.08.2012)</w:t>
      </w:r>
      <w:r w:rsidR="00755C6D">
        <w:rPr>
          <w:rFonts w:hint="cs"/>
          <w:rtl/>
        </w:rPr>
        <w:t xml:space="preserve">, פסקה 17). </w:t>
      </w:r>
      <w:r w:rsidR="002E7AEC">
        <w:rPr>
          <w:rFonts w:hint="cs"/>
          <w:rtl/>
        </w:rPr>
        <w:t xml:space="preserve">(להלן: "עניין שפר"). </w:t>
      </w:r>
    </w:p>
    <w:p w:rsidR="00893005" w:rsidRDefault="00893005" w:rsidP="00893005">
      <w:pPr>
        <w:spacing w:line="360" w:lineRule="auto"/>
        <w:ind w:left="-57"/>
        <w:jc w:val="both"/>
        <w:rPr>
          <w:rtl/>
        </w:rPr>
      </w:pPr>
    </w:p>
    <w:p w:rsidR="00E423FA" w:rsidRDefault="00621A4F" w:rsidP="00621A4F">
      <w:pPr>
        <w:spacing w:line="360" w:lineRule="auto"/>
        <w:ind w:hanging="624"/>
        <w:jc w:val="both"/>
        <w:rPr>
          <w:rFonts w:ascii="David" w:hAnsi="David"/>
          <w:noProof w:val="0"/>
        </w:rPr>
      </w:pPr>
      <w:r>
        <w:rPr>
          <w:rtl/>
        </w:rPr>
        <w:tab/>
      </w:r>
      <w:r w:rsidR="00E423FA">
        <w:rPr>
          <w:rFonts w:hint="cs"/>
          <w:rtl/>
        </w:rPr>
        <w:t xml:space="preserve">כן ראו </w:t>
      </w:r>
      <w:r w:rsidR="00E423FA">
        <w:rPr>
          <w:rFonts w:ascii="David" w:hAnsi="David"/>
          <w:rtl/>
        </w:rPr>
        <w:t>עע</w:t>
      </w:r>
      <w:r w:rsidR="00D46D4F">
        <w:rPr>
          <w:rFonts w:ascii="David" w:hAnsi="David" w:hint="cs"/>
          <w:rtl/>
        </w:rPr>
        <w:t>"</w:t>
      </w:r>
      <w:r w:rsidR="00E423FA">
        <w:rPr>
          <w:rFonts w:ascii="David" w:hAnsi="David"/>
          <w:rtl/>
        </w:rPr>
        <w:t xml:space="preserve">מ 3202/21 </w:t>
      </w:r>
      <w:r w:rsidR="00E423FA">
        <w:rPr>
          <w:rFonts w:ascii="David" w:hAnsi="David"/>
          <w:b/>
          <w:bCs/>
          <w:rtl/>
        </w:rPr>
        <w:t>מרכז השלטון האזורי נ' הוועדה הארצית לתכנון ובניה של מתחמים מועדפים לדיור</w:t>
      </w:r>
      <w:r w:rsidR="00E423FA">
        <w:rPr>
          <w:rFonts w:ascii="David" w:hAnsi="David"/>
          <w:rtl/>
        </w:rPr>
        <w:t xml:space="preserve"> (פורסם בנבו, 08/08/23)</w:t>
      </w:r>
      <w:r w:rsidR="00E423FA">
        <w:rPr>
          <w:rFonts w:ascii="David" w:hAnsi="David" w:hint="cs"/>
          <w:rtl/>
        </w:rPr>
        <w:t>,</w:t>
      </w:r>
      <w:r w:rsidR="00E423FA">
        <w:rPr>
          <w:rFonts w:ascii="David" w:hAnsi="David"/>
          <w:rtl/>
        </w:rPr>
        <w:t xml:space="preserve"> פסקה 23</w:t>
      </w:r>
      <w:r w:rsidR="00E423FA">
        <w:rPr>
          <w:rFonts w:ascii="David" w:hAnsi="David" w:hint="cs"/>
          <w:noProof w:val="0"/>
          <w:rtl/>
        </w:rPr>
        <w:t>:</w:t>
      </w:r>
    </w:p>
    <w:p w:rsidR="00893005" w:rsidRDefault="00E423FA" w:rsidP="00893005">
      <w:pPr>
        <w:spacing w:line="360" w:lineRule="auto"/>
        <w:ind w:left="720" w:right="1134" w:firstLine="74"/>
        <w:jc w:val="both"/>
        <w:rPr>
          <w:rFonts w:ascii="David" w:hAnsi="David"/>
          <w:b/>
          <w:bCs/>
          <w:rtl/>
        </w:rPr>
      </w:pPr>
      <w:r>
        <w:rPr>
          <w:rFonts w:ascii="David" w:hAnsi="David"/>
          <w:rtl/>
        </w:rPr>
        <w:t>"</w:t>
      </w:r>
      <w:r w:rsidRPr="00332B04">
        <w:rPr>
          <w:rFonts w:ascii="David" w:hAnsi="David"/>
          <w:b/>
          <w:bCs/>
          <w:rtl/>
        </w:rPr>
        <w:t>[...]</w:t>
      </w:r>
      <w:r w:rsidRPr="00332B04">
        <w:rPr>
          <w:rFonts w:ascii="David" w:hAnsi="David" w:hint="cs"/>
          <w:b/>
          <w:bCs/>
          <w:rtl/>
        </w:rPr>
        <w:t xml:space="preserve"> </w:t>
      </w:r>
      <w:r w:rsidRPr="00332B04">
        <w:rPr>
          <w:rFonts w:ascii="David" w:hAnsi="David"/>
          <w:b/>
          <w:bCs/>
          <w:rtl/>
        </w:rPr>
        <w:t xml:space="preserve">כידוע, הלכה מושרשת עמנו כי בית משפט זה אינו "מתכנן על" </w:t>
      </w:r>
      <w:r w:rsidR="00893005">
        <w:rPr>
          <w:rFonts w:ascii="David" w:hAnsi="David" w:hint="cs"/>
          <w:b/>
          <w:bCs/>
          <w:rtl/>
        </w:rPr>
        <w:t xml:space="preserve">    </w:t>
      </w:r>
    </w:p>
    <w:p w:rsidR="002E7AEC" w:rsidRPr="00893005" w:rsidRDefault="00E423FA" w:rsidP="00893005">
      <w:pPr>
        <w:spacing w:line="360" w:lineRule="auto"/>
        <w:ind w:left="794" w:right="1134"/>
        <w:jc w:val="both"/>
        <w:rPr>
          <w:rFonts w:ascii="David" w:hAnsi="David"/>
          <w:rtl/>
        </w:rPr>
      </w:pPr>
      <w:r w:rsidRPr="00332B04">
        <w:rPr>
          <w:rFonts w:ascii="David" w:hAnsi="David"/>
          <w:b/>
          <w:bCs/>
          <w:rtl/>
        </w:rPr>
        <w:t xml:space="preserve">ובמסגרת הביקורת השיפוטית לא ימיר את שיקול דעתו של מוסד התכנון </w:t>
      </w:r>
      <w:r w:rsidR="00893005">
        <w:rPr>
          <w:rFonts w:ascii="David" w:hAnsi="David" w:hint="cs"/>
          <w:b/>
          <w:bCs/>
          <w:rtl/>
        </w:rPr>
        <w:t xml:space="preserve"> </w:t>
      </w:r>
      <w:r w:rsidRPr="00332B04">
        <w:rPr>
          <w:rFonts w:ascii="David" w:hAnsi="David"/>
          <w:b/>
          <w:bCs/>
          <w:rtl/>
        </w:rPr>
        <w:t>בשיקול דעתו שלו</w:t>
      </w:r>
      <w:r w:rsidR="00332B04" w:rsidRPr="00332B04">
        <w:rPr>
          <w:rFonts w:ascii="David" w:hAnsi="David" w:hint="cs"/>
          <w:b/>
          <w:bCs/>
          <w:rtl/>
        </w:rPr>
        <w:t xml:space="preserve"> [...]</w:t>
      </w:r>
      <w:r w:rsidR="00332B04">
        <w:rPr>
          <w:rFonts w:ascii="David" w:hAnsi="David" w:hint="cs"/>
          <w:rtl/>
        </w:rPr>
        <w:t>".</w:t>
      </w:r>
      <w:r>
        <w:rPr>
          <w:rFonts w:ascii="David" w:hAnsi="David" w:hint="cs"/>
          <w:rtl/>
        </w:rPr>
        <w:t xml:space="preserve"> </w:t>
      </w:r>
    </w:p>
    <w:p w:rsidR="00EF331B" w:rsidRDefault="00621A4F" w:rsidP="00621A4F">
      <w:pPr>
        <w:spacing w:line="360" w:lineRule="auto"/>
        <w:ind w:hanging="624"/>
        <w:jc w:val="both"/>
        <w:rPr>
          <w:rtl/>
        </w:rPr>
      </w:pPr>
      <w:r>
        <w:rPr>
          <w:rtl/>
        </w:rPr>
        <w:tab/>
      </w:r>
      <w:r w:rsidR="002E7AEC" w:rsidRPr="002E7AEC">
        <w:rPr>
          <w:rFonts w:hint="cs"/>
          <w:rtl/>
        </w:rPr>
        <w:t xml:space="preserve">בענייננו, כפי שפורט מעלה, </w:t>
      </w:r>
      <w:r w:rsidR="002E7AEC">
        <w:rPr>
          <w:rFonts w:hint="cs"/>
          <w:rtl/>
        </w:rPr>
        <w:t>מדובר בתכנית אשר משך תקופה ארוכה נדונה על-ידי</w:t>
      </w:r>
      <w:r w:rsidR="00570A90">
        <w:rPr>
          <w:rFonts w:hint="cs"/>
          <w:rtl/>
        </w:rPr>
        <w:t xml:space="preserve"> גופי התכנון השונים, ונבחנה בועדה המחוזית ו</w:t>
      </w:r>
      <w:r w:rsidR="00EF331B">
        <w:rPr>
          <w:rFonts w:hint="cs"/>
          <w:rtl/>
        </w:rPr>
        <w:t xml:space="preserve">במידה מסוימת גם על-ידי </w:t>
      </w:r>
      <w:r w:rsidR="00570A90">
        <w:rPr>
          <w:rFonts w:hint="cs"/>
          <w:rtl/>
        </w:rPr>
        <w:t xml:space="preserve">ועדת משנה של המועצה הארצית לתכנון ולבנייה (ולנט"ע). </w:t>
      </w:r>
    </w:p>
    <w:p w:rsidR="00A05F8F" w:rsidRDefault="00621A4F" w:rsidP="00621A4F">
      <w:pPr>
        <w:spacing w:line="360" w:lineRule="auto"/>
        <w:ind w:hanging="624"/>
        <w:jc w:val="both"/>
        <w:rPr>
          <w:rtl/>
        </w:rPr>
      </w:pPr>
      <w:r>
        <w:rPr>
          <w:rtl/>
        </w:rPr>
        <w:tab/>
      </w:r>
      <w:r w:rsidR="00A05F8F">
        <w:rPr>
          <w:rFonts w:hint="cs"/>
          <w:rtl/>
        </w:rPr>
        <w:t xml:space="preserve">התכנית אושרה על-ידי הגורמים המקצועיים לא כלאחר יד אלא לאחר בחינה, למידה ושקידה של גורמים מקצועיים רבים מטעם הרשות המנהלית. </w:t>
      </w:r>
    </w:p>
    <w:p w:rsidR="004D0A45" w:rsidRDefault="00621A4F" w:rsidP="00621A4F">
      <w:pPr>
        <w:spacing w:line="360" w:lineRule="auto"/>
        <w:ind w:hanging="624"/>
        <w:jc w:val="both"/>
        <w:rPr>
          <w:rtl/>
        </w:rPr>
      </w:pPr>
      <w:r>
        <w:rPr>
          <w:rtl/>
        </w:rPr>
        <w:tab/>
      </w:r>
      <w:r w:rsidR="00570A90">
        <w:rPr>
          <w:rFonts w:hint="cs"/>
          <w:rtl/>
        </w:rPr>
        <w:t xml:space="preserve">טענות העותרת נבחנו </w:t>
      </w:r>
      <w:r w:rsidR="004D0A45">
        <w:rPr>
          <w:rFonts w:hint="cs"/>
          <w:rtl/>
        </w:rPr>
        <w:t>גם בשלב ההתנגדות וגם</w:t>
      </w:r>
      <w:r w:rsidR="00570A90">
        <w:rPr>
          <w:rFonts w:hint="cs"/>
          <w:rtl/>
        </w:rPr>
        <w:t xml:space="preserve"> על-ידי יושב ראש הועדה המחוזית</w:t>
      </w:r>
      <w:r w:rsidR="004D0A45">
        <w:rPr>
          <w:rFonts w:hint="cs"/>
          <w:rtl/>
        </w:rPr>
        <w:t xml:space="preserve"> בבקשת רשות הערר שהוגשה</w:t>
      </w:r>
      <w:r w:rsidR="00570A90">
        <w:rPr>
          <w:rFonts w:hint="cs"/>
          <w:rtl/>
        </w:rPr>
        <w:t>. ההחלטות</w:t>
      </w:r>
      <w:r w:rsidR="004D0A45">
        <w:rPr>
          <w:rFonts w:hint="cs"/>
          <w:rtl/>
        </w:rPr>
        <w:t xml:space="preserve"> במסגרת התכנית נתקבלו </w:t>
      </w:r>
      <w:r w:rsidR="005D75DF">
        <w:rPr>
          <w:rFonts w:hint="cs"/>
          <w:rtl/>
        </w:rPr>
        <w:t xml:space="preserve">לאחר שהתקיימו כל </w:t>
      </w:r>
      <w:r w:rsidR="00C80B19">
        <w:rPr>
          <w:rFonts w:hint="cs"/>
          <w:rtl/>
        </w:rPr>
        <w:t xml:space="preserve">הליכי התכנון המקובלים על-ידי בעלי מקצוע מתחומים שונים ושמיעה של הערות הציבור. </w:t>
      </w:r>
    </w:p>
    <w:p w:rsidR="002E7AEC" w:rsidRDefault="00621A4F" w:rsidP="00621A4F">
      <w:pPr>
        <w:spacing w:line="360" w:lineRule="auto"/>
        <w:ind w:hanging="624"/>
        <w:jc w:val="both"/>
        <w:rPr>
          <w:rtl/>
        </w:rPr>
      </w:pPr>
      <w:r>
        <w:rPr>
          <w:rtl/>
        </w:rPr>
        <w:tab/>
      </w:r>
      <w:r w:rsidR="00B9272F">
        <w:rPr>
          <w:rFonts w:hint="cs"/>
          <w:rtl/>
        </w:rPr>
        <w:t>כזכור, מדובר ב</w:t>
      </w:r>
      <w:r w:rsidR="00C80B19">
        <w:rPr>
          <w:rFonts w:hint="cs"/>
          <w:rtl/>
        </w:rPr>
        <w:t xml:space="preserve">תכנית שנועדה לפתח דרך ארצית לחיבור הפריפרייה, קירוב והנגשת מרחב אשקלון למטרופולין תל אביב, הפחתת עומסי תנועה והכל תוך מתן ביטוי ליעדים הקשורים לתחבורה ציבורית, הולכי רגל, רוכבי אופנים והגנה על איכות הסביבה. </w:t>
      </w:r>
      <w:r w:rsidR="00B9272F">
        <w:rPr>
          <w:rFonts w:hint="cs"/>
          <w:rtl/>
        </w:rPr>
        <w:t>היינו מדובר בתכנית אשר מבקשת להגשים אינטרסים ציבוריים מובהקים.</w:t>
      </w:r>
    </w:p>
    <w:p w:rsidR="004E42FE" w:rsidRDefault="004E42FE" w:rsidP="00C80B19">
      <w:pPr>
        <w:spacing w:line="360" w:lineRule="auto"/>
        <w:jc w:val="both"/>
        <w:rPr>
          <w:rtl/>
        </w:rPr>
      </w:pPr>
    </w:p>
    <w:p w:rsidR="00C80B19" w:rsidRDefault="00BE16E0" w:rsidP="00BE16E0">
      <w:pPr>
        <w:spacing w:line="360" w:lineRule="auto"/>
        <w:ind w:hanging="624"/>
        <w:jc w:val="both"/>
        <w:rPr>
          <w:rtl/>
        </w:rPr>
      </w:pPr>
      <w:r>
        <w:rPr>
          <w:rtl/>
        </w:rPr>
        <w:lastRenderedPageBreak/>
        <w:tab/>
      </w:r>
      <w:r w:rsidR="00C80B19">
        <w:rPr>
          <w:rFonts w:hint="cs"/>
          <w:rtl/>
        </w:rPr>
        <w:t>מן האמור עד כה, עשוי להיוצר הרושם כי בית המשפט לא יכול להעביר תחת שבט הביקורת את התכנית שאושר</w:t>
      </w:r>
      <w:r w:rsidR="004E42FE">
        <w:rPr>
          <w:rFonts w:hint="cs"/>
          <w:rtl/>
        </w:rPr>
        <w:t>ה על-ידי גופי התכנון, ולא</w:t>
      </w:r>
      <w:r w:rsidR="00C80B19">
        <w:rPr>
          <w:rFonts w:hint="cs"/>
          <w:rtl/>
        </w:rPr>
        <w:t xml:space="preserve"> היא. כל החלטה מנהלית, גם החלטה של גופי התכנון, </w:t>
      </w:r>
      <w:r w:rsidR="00730992">
        <w:rPr>
          <w:rFonts w:hint="cs"/>
          <w:rtl/>
        </w:rPr>
        <w:t>יכולה להיבחן על-ידי בית המשפט וזאת על-פי עילות הביקורת המנהליות המוכרות "</w:t>
      </w:r>
      <w:r w:rsidR="00730992" w:rsidRPr="00730992">
        <w:rPr>
          <w:rFonts w:hint="cs"/>
          <w:b/>
          <w:bCs/>
          <w:rtl/>
        </w:rPr>
        <w:t>באספרקלריה של הדין המנהלי והציבורי. במסגרת זו, בוחן בית המשפט אם החלטת מוסד התכנון נקטה באחד מ'המרעי</w:t>
      </w:r>
      <w:r w:rsidR="004E42FE">
        <w:rPr>
          <w:rFonts w:hint="cs"/>
          <w:b/>
          <w:bCs/>
          <w:rtl/>
        </w:rPr>
        <w:t>ן</w:t>
      </w:r>
      <w:r w:rsidR="00730992" w:rsidRPr="00730992">
        <w:rPr>
          <w:rFonts w:hint="cs"/>
          <w:b/>
          <w:bCs/>
          <w:rtl/>
        </w:rPr>
        <w:t xml:space="preserve"> בישין' של המשפט המנהלי כגון: חריגה מסמכות; ניגוד עניינים; משוא פנים או שיקולים זרים או חוסר תום לב; וחריגה קיצונית ממתחם הסבירות</w:t>
      </w:r>
      <w:r w:rsidR="00730992">
        <w:rPr>
          <w:rFonts w:hint="cs"/>
          <w:rtl/>
        </w:rPr>
        <w:t>..." (</w:t>
      </w:r>
      <w:r w:rsidR="00730992" w:rsidRPr="004E42FE">
        <w:rPr>
          <w:rFonts w:hint="cs"/>
          <w:b/>
          <w:bCs/>
          <w:rtl/>
        </w:rPr>
        <w:t>עניין שפר</w:t>
      </w:r>
      <w:r w:rsidR="00730992">
        <w:rPr>
          <w:rFonts w:hint="cs"/>
          <w:rtl/>
        </w:rPr>
        <w:t xml:space="preserve">, פסקה 17). </w:t>
      </w:r>
    </w:p>
    <w:p w:rsidR="00730992" w:rsidRDefault="00730992" w:rsidP="00C80B19">
      <w:pPr>
        <w:spacing w:line="360" w:lineRule="auto"/>
        <w:jc w:val="both"/>
        <w:rPr>
          <w:rtl/>
        </w:rPr>
      </w:pPr>
    </w:p>
    <w:p w:rsidR="00730992" w:rsidRDefault="00BE16E0" w:rsidP="00BE16E0">
      <w:pPr>
        <w:spacing w:line="360" w:lineRule="auto"/>
        <w:ind w:hanging="624"/>
        <w:jc w:val="both"/>
        <w:rPr>
          <w:rtl/>
        </w:rPr>
      </w:pPr>
      <w:r>
        <w:rPr>
          <w:rtl/>
        </w:rPr>
        <w:tab/>
      </w:r>
      <w:r w:rsidR="00730992">
        <w:rPr>
          <w:rFonts w:hint="cs"/>
          <w:rtl/>
        </w:rPr>
        <w:t>בענייננו, העילות של ניגוד עניינים, משוא פנים, שיקולים זרים וחוסר תום לב ה</w:t>
      </w:r>
      <w:r w:rsidR="004E42FE">
        <w:rPr>
          <w:rFonts w:hint="cs"/>
          <w:rtl/>
        </w:rPr>
        <w:t>ן</w:t>
      </w:r>
      <w:r w:rsidR="00A05F8F">
        <w:rPr>
          <w:rFonts w:hint="cs"/>
          <w:rtl/>
        </w:rPr>
        <w:t xml:space="preserve"> פחות רלוונטיות. </w:t>
      </w:r>
      <w:r w:rsidR="00730992">
        <w:rPr>
          <w:rFonts w:hint="cs"/>
          <w:rtl/>
        </w:rPr>
        <w:t xml:space="preserve">אף אם העותרת </w:t>
      </w:r>
      <w:r w:rsidR="00714159">
        <w:rPr>
          <w:rFonts w:hint="cs"/>
          <w:rtl/>
        </w:rPr>
        <w:t xml:space="preserve">ציינה במקום כזה </w:t>
      </w:r>
      <w:r w:rsidR="004E42FE">
        <w:rPr>
          <w:rFonts w:hint="cs"/>
          <w:rtl/>
        </w:rPr>
        <w:t xml:space="preserve">או אחר שמשיבה 3 היא זו שבחשה </w:t>
      </w:r>
      <w:r w:rsidR="00714159">
        <w:rPr>
          <w:rFonts w:hint="cs"/>
          <w:rtl/>
        </w:rPr>
        <w:t>והובילה לשינוי הנטען על-ידה בתכניות</w:t>
      </w:r>
      <w:r w:rsidR="008C30BC">
        <w:rPr>
          <w:rFonts w:hint="cs"/>
          <w:rtl/>
        </w:rPr>
        <w:t xml:space="preserve"> של הרשות המנהלית,</w:t>
      </w:r>
      <w:r w:rsidR="00714159">
        <w:rPr>
          <w:rFonts w:hint="cs"/>
          <w:rtl/>
        </w:rPr>
        <w:t xml:space="preserve"> הרי שדבר זה לא הוכח</w:t>
      </w:r>
      <w:r w:rsidR="00A05F8F">
        <w:rPr>
          <w:rFonts w:hint="cs"/>
          <w:rtl/>
        </w:rPr>
        <w:t xml:space="preserve"> כנדרש</w:t>
      </w:r>
      <w:r w:rsidR="00714159">
        <w:rPr>
          <w:rFonts w:hint="cs"/>
          <w:rtl/>
        </w:rPr>
        <w:t xml:space="preserve"> והוא נותר בגדר השערה חסרת בסיס. </w:t>
      </w:r>
      <w:r w:rsidR="00EF331B">
        <w:rPr>
          <w:rFonts w:hint="cs"/>
          <w:rtl/>
        </w:rPr>
        <w:t xml:space="preserve">לא נטען, וממילא לא הוכח, שהיה ניגוד עניינים, משוא פנים, שיקולים זרים או חוסר תום לב על-ידי איזה מן הפונקציות שנטלו חלק בקבלת ההחלטה.  </w:t>
      </w:r>
    </w:p>
    <w:p w:rsidR="008C30BC" w:rsidRDefault="008C30BC" w:rsidP="008C30BC">
      <w:pPr>
        <w:spacing w:line="360" w:lineRule="auto"/>
        <w:jc w:val="both"/>
        <w:rPr>
          <w:rtl/>
        </w:rPr>
      </w:pPr>
    </w:p>
    <w:p w:rsidR="006C398C" w:rsidRDefault="00BE16E0" w:rsidP="00BE16E0">
      <w:pPr>
        <w:spacing w:line="360" w:lineRule="auto"/>
        <w:ind w:hanging="624"/>
        <w:jc w:val="both"/>
        <w:rPr>
          <w:rtl/>
        </w:rPr>
      </w:pPr>
      <w:r>
        <w:rPr>
          <w:rtl/>
        </w:rPr>
        <w:tab/>
      </w:r>
      <w:r w:rsidR="008C30BC">
        <w:rPr>
          <w:rFonts w:hint="cs"/>
          <w:rtl/>
        </w:rPr>
        <w:t xml:space="preserve">עתה נותר לבחון האם החלטת </w:t>
      </w:r>
      <w:r w:rsidR="00F24D87">
        <w:rPr>
          <w:rFonts w:hint="cs"/>
          <w:rtl/>
        </w:rPr>
        <w:t>משיבה 1 לדחות את מרבית ההתנגדויות של העותרת והחלטת משיב 2 לדחות את בקשת רשות הערר שהגישה העותרת</w:t>
      </w:r>
      <w:r w:rsidR="00C61062">
        <w:rPr>
          <w:rFonts w:hint="cs"/>
          <w:rtl/>
        </w:rPr>
        <w:t xml:space="preserve"> </w:t>
      </w:r>
      <w:r w:rsidR="00F24D87">
        <w:rPr>
          <w:rFonts w:hint="cs"/>
          <w:rtl/>
        </w:rPr>
        <w:t xml:space="preserve">נתקבלו </w:t>
      </w:r>
      <w:r w:rsidR="008C30BC">
        <w:rPr>
          <w:rFonts w:hint="cs"/>
          <w:rtl/>
        </w:rPr>
        <w:t>תוך חריגה מסמכות או שיש בהן משום חריגה קיצונית ממתחם הסביר</w:t>
      </w:r>
      <w:r w:rsidR="00F24D87">
        <w:rPr>
          <w:rFonts w:hint="cs"/>
          <w:rtl/>
        </w:rPr>
        <w:t>ות או שהן פוגעות במידה העולה על הנדרש בזכויות העותר</w:t>
      </w:r>
      <w:r w:rsidR="00745E6B">
        <w:rPr>
          <w:rFonts w:hint="cs"/>
          <w:rtl/>
        </w:rPr>
        <w:t xml:space="preserve">ת. </w:t>
      </w:r>
    </w:p>
    <w:p w:rsidR="00C61062" w:rsidRDefault="00C61062" w:rsidP="00BE16E0">
      <w:pPr>
        <w:spacing w:line="360" w:lineRule="auto"/>
        <w:ind w:hanging="624"/>
        <w:jc w:val="both"/>
        <w:rPr>
          <w:rtl/>
        </w:rPr>
      </w:pPr>
    </w:p>
    <w:p w:rsidR="00C61062" w:rsidRDefault="00D46D4F" w:rsidP="00C44250">
      <w:pPr>
        <w:spacing w:line="360" w:lineRule="auto"/>
        <w:ind w:hanging="624"/>
        <w:jc w:val="both"/>
        <w:rPr>
          <w:rtl/>
        </w:rPr>
      </w:pPr>
      <w:r>
        <w:rPr>
          <w:rFonts w:hint="cs"/>
          <w:rtl/>
        </w:rPr>
        <w:t>17</w:t>
      </w:r>
      <w:r w:rsidR="00C61062">
        <w:rPr>
          <w:rFonts w:hint="cs"/>
          <w:rtl/>
        </w:rPr>
        <w:t xml:space="preserve">. </w:t>
      </w:r>
      <w:r w:rsidR="00C61062">
        <w:rPr>
          <w:rtl/>
        </w:rPr>
        <w:tab/>
      </w:r>
      <w:r w:rsidR="00C44250">
        <w:rPr>
          <w:rFonts w:hint="cs"/>
          <w:rtl/>
        </w:rPr>
        <w:t xml:space="preserve">הטענה המרכזית של העותרת היא שהתכנית שהופקדה לא הולמת את התכניות הראשונות שהוגשו לגופי התכנון ואת ההחלטות שהתקבלו בדיון שנערך אצל משיבה 1 לקראת ההפקדה. </w:t>
      </w:r>
    </w:p>
    <w:p w:rsidR="00D261C9" w:rsidRDefault="00D261C9" w:rsidP="00C44250">
      <w:pPr>
        <w:spacing w:line="360" w:lineRule="auto"/>
        <w:ind w:hanging="624"/>
        <w:jc w:val="both"/>
        <w:rPr>
          <w:rtl/>
        </w:rPr>
      </w:pPr>
      <w:r>
        <w:rPr>
          <w:rtl/>
        </w:rPr>
        <w:tab/>
      </w:r>
      <w:r>
        <w:rPr>
          <w:rFonts w:hint="cs"/>
          <w:rtl/>
        </w:rPr>
        <w:t xml:space="preserve">סבורני כי טענה זו היא לא מדויקת בלשון המעטה במישור העובדתי. </w:t>
      </w:r>
    </w:p>
    <w:p w:rsidR="00351A83" w:rsidRDefault="00D261C9" w:rsidP="00351A83">
      <w:pPr>
        <w:spacing w:line="360" w:lineRule="auto"/>
        <w:ind w:hanging="624"/>
        <w:jc w:val="both"/>
        <w:rPr>
          <w:rtl/>
        </w:rPr>
      </w:pPr>
      <w:r>
        <w:rPr>
          <w:rtl/>
        </w:rPr>
        <w:tab/>
      </w:r>
      <w:r>
        <w:rPr>
          <w:rFonts w:hint="cs"/>
          <w:rtl/>
        </w:rPr>
        <w:t>כעולה מתקנון התכנית שהוגשה לרשויות בתחילת הליכי התכנון (נספח 1 לכתב התשובה של משיבים 1 ו-2)</w:t>
      </w:r>
      <w:r w:rsidR="00A05F8F">
        <w:rPr>
          <w:rFonts w:hint="cs"/>
          <w:rtl/>
        </w:rPr>
        <w:t>,</w:t>
      </w:r>
      <w:r>
        <w:rPr>
          <w:rFonts w:hint="cs"/>
          <w:rtl/>
        </w:rPr>
        <w:t xml:space="preserve"> </w:t>
      </w:r>
      <w:r w:rsidR="00351A83">
        <w:rPr>
          <w:rFonts w:hint="cs"/>
          <w:rtl/>
        </w:rPr>
        <w:t xml:space="preserve">מלכתחילה הותרו בתכנית שימושים של עמדות טעינה חשמלית וחנות נוחות. </w:t>
      </w:r>
    </w:p>
    <w:p w:rsidR="00351A83" w:rsidRDefault="00351A83" w:rsidP="00351A83">
      <w:pPr>
        <w:spacing w:line="360" w:lineRule="auto"/>
        <w:ind w:hanging="624"/>
        <w:jc w:val="both"/>
        <w:rPr>
          <w:rtl/>
        </w:rPr>
      </w:pPr>
      <w:r>
        <w:rPr>
          <w:rtl/>
        </w:rPr>
        <w:tab/>
      </w:r>
      <w:r>
        <w:rPr>
          <w:rFonts w:hint="cs"/>
          <w:rtl/>
        </w:rPr>
        <w:t>בסעיף 4.2.1 לתקנות התכנית, שכותרתו היא "שימושים", וזאת תחת הכותרת של "דרך מוצעת" צוין כי "</w:t>
      </w:r>
      <w:r w:rsidRPr="008A1F7E">
        <w:rPr>
          <w:rFonts w:hint="cs"/>
          <w:b/>
          <w:bCs/>
          <w:u w:val="single"/>
          <w:rtl/>
        </w:rPr>
        <w:t>כל השימושים המותרים בהגדרת 'דרך' לחוק התכנון והבניה</w:t>
      </w:r>
      <w:r>
        <w:rPr>
          <w:rFonts w:hint="cs"/>
          <w:b/>
          <w:bCs/>
          <w:rtl/>
        </w:rPr>
        <w:t xml:space="preserve">... </w:t>
      </w:r>
      <w:r w:rsidRPr="00A05F8F">
        <w:rPr>
          <w:rFonts w:hint="cs"/>
          <w:b/>
          <w:bCs/>
          <w:u w:val="single"/>
          <w:rtl/>
        </w:rPr>
        <w:t>לרבות מבני ומתקני 'דרך'</w:t>
      </w:r>
      <w:r>
        <w:rPr>
          <w:rFonts w:hint="cs"/>
          <w:b/>
          <w:bCs/>
          <w:rtl/>
        </w:rPr>
        <w:t>... א. מבנים ומתקנים... לרבות ומבלי לגרוע מכלליות האמור לעיל: תחנות לאיסוף נוסעים והורדתם...</w:t>
      </w:r>
      <w:r>
        <w:rPr>
          <w:rFonts w:hint="cs"/>
          <w:rtl/>
        </w:rPr>
        <w:t xml:space="preserve">". </w:t>
      </w:r>
    </w:p>
    <w:p w:rsidR="00840C9F" w:rsidRDefault="00351A83" w:rsidP="00351A83">
      <w:pPr>
        <w:spacing w:line="360" w:lineRule="auto"/>
        <w:ind w:hanging="624"/>
        <w:jc w:val="both"/>
        <w:rPr>
          <w:rtl/>
        </w:rPr>
      </w:pPr>
      <w:r>
        <w:rPr>
          <w:rtl/>
        </w:rPr>
        <w:tab/>
      </w:r>
      <w:r>
        <w:rPr>
          <w:rFonts w:hint="cs"/>
          <w:rtl/>
        </w:rPr>
        <w:t xml:space="preserve">בסעיף 4.3.1 </w:t>
      </w:r>
      <w:r w:rsidR="00840C9F">
        <w:rPr>
          <w:rFonts w:hint="cs"/>
          <w:rtl/>
        </w:rPr>
        <w:t xml:space="preserve">שכותרתו "שימושים", תחת הכותרת של "מרכז תחבורה" צוין כי: </w:t>
      </w:r>
    </w:p>
    <w:p w:rsidR="00351A83" w:rsidRDefault="00840C9F" w:rsidP="00840C9F">
      <w:pPr>
        <w:spacing w:line="360" w:lineRule="auto"/>
        <w:jc w:val="both"/>
        <w:rPr>
          <w:rtl/>
        </w:rPr>
      </w:pPr>
      <w:r>
        <w:rPr>
          <w:rFonts w:hint="cs"/>
          <w:rtl/>
        </w:rPr>
        <w:t>"</w:t>
      </w:r>
      <w:r w:rsidRPr="00840C9F">
        <w:rPr>
          <w:rFonts w:hint="cs"/>
          <w:b/>
          <w:bCs/>
          <w:rtl/>
        </w:rPr>
        <w:t>1.</w:t>
      </w:r>
      <w:r>
        <w:rPr>
          <w:rFonts w:hint="cs"/>
          <w:rtl/>
        </w:rPr>
        <w:t xml:space="preserve"> </w:t>
      </w:r>
      <w:r w:rsidRPr="00A05F8F">
        <w:rPr>
          <w:rFonts w:hint="cs"/>
          <w:b/>
          <w:bCs/>
          <w:u w:val="single"/>
          <w:rtl/>
        </w:rPr>
        <w:t>מבנה 'דרך'</w:t>
      </w:r>
      <w:r>
        <w:rPr>
          <w:rFonts w:hint="cs"/>
          <w:b/>
          <w:bCs/>
          <w:rtl/>
        </w:rPr>
        <w:t xml:space="preserve"> מסוג מרכז לתחבורה ציבורית הכולל בין היתר מבנים ומתקנים הנדרשים לצורך יעול השימוש בתחבורה הציבורית ומתן אפשרות לריענון הנוסעים בדרך כגון מבנה נהגים, מבנה שירותים ציבוריים, חדר שנאים לטעינת אוטובוסים ורכבים חשמליים, </w:t>
      </w:r>
      <w:r w:rsidRPr="00840C9F">
        <w:rPr>
          <w:rFonts w:hint="cs"/>
          <w:b/>
          <w:bCs/>
          <w:u w:val="single"/>
          <w:rtl/>
        </w:rPr>
        <w:t>עמדות טעינה חשמלית</w:t>
      </w:r>
      <w:r>
        <w:rPr>
          <w:rFonts w:hint="cs"/>
          <w:b/>
          <w:bCs/>
          <w:rtl/>
        </w:rPr>
        <w:t>, מבנה מוגן ו</w:t>
      </w:r>
      <w:r w:rsidRPr="00840C9F">
        <w:rPr>
          <w:rFonts w:hint="cs"/>
          <w:b/>
          <w:bCs/>
          <w:u w:val="single"/>
          <w:rtl/>
        </w:rPr>
        <w:t>חנות נוחות</w:t>
      </w:r>
      <w:r>
        <w:rPr>
          <w:rFonts w:hint="cs"/>
          <w:rtl/>
        </w:rPr>
        <w:t>.</w:t>
      </w:r>
    </w:p>
    <w:p w:rsidR="000A3686" w:rsidRDefault="00840C9F" w:rsidP="000A3686">
      <w:pPr>
        <w:spacing w:line="360" w:lineRule="auto"/>
        <w:jc w:val="both"/>
        <w:rPr>
          <w:rtl/>
        </w:rPr>
      </w:pPr>
      <w:r>
        <w:rPr>
          <w:rFonts w:hint="cs"/>
          <w:b/>
          <w:bCs/>
          <w:rtl/>
        </w:rPr>
        <w:t xml:space="preserve">2. </w:t>
      </w:r>
      <w:r w:rsidRPr="00A05F8F">
        <w:rPr>
          <w:rFonts w:hint="cs"/>
          <w:b/>
          <w:bCs/>
          <w:u w:val="single"/>
          <w:rtl/>
        </w:rPr>
        <w:t>כל השימושים המפורטים בסעיף 4.2.1</w:t>
      </w:r>
      <w:r>
        <w:rPr>
          <w:rFonts w:hint="cs"/>
          <w:rtl/>
        </w:rPr>
        <w:t>" (דגש לא במקור, י' ל').</w:t>
      </w:r>
      <w:r w:rsidR="000A3686">
        <w:rPr>
          <w:rFonts w:hint="cs"/>
          <w:rtl/>
        </w:rPr>
        <w:t xml:space="preserve"> </w:t>
      </w:r>
    </w:p>
    <w:p w:rsidR="000A3686" w:rsidRDefault="000A3686" w:rsidP="000A3686">
      <w:pPr>
        <w:spacing w:line="360" w:lineRule="auto"/>
        <w:jc w:val="both"/>
        <w:rPr>
          <w:rtl/>
        </w:rPr>
      </w:pPr>
    </w:p>
    <w:p w:rsidR="000A3686" w:rsidRDefault="00D46D4F" w:rsidP="00BE16E0">
      <w:pPr>
        <w:spacing w:line="360" w:lineRule="auto"/>
        <w:ind w:hanging="624"/>
        <w:jc w:val="both"/>
        <w:rPr>
          <w:rtl/>
        </w:rPr>
      </w:pPr>
      <w:r>
        <w:rPr>
          <w:rFonts w:hint="cs"/>
          <w:rtl/>
        </w:rPr>
        <w:t>18</w:t>
      </w:r>
      <w:r w:rsidR="000A3686">
        <w:rPr>
          <w:rFonts w:hint="cs"/>
          <w:rtl/>
        </w:rPr>
        <w:t>.</w:t>
      </w:r>
      <w:r w:rsidR="000A3686">
        <w:rPr>
          <w:rFonts w:hint="cs"/>
          <w:rtl/>
        </w:rPr>
        <w:tab/>
        <w:t xml:space="preserve">כאמור, סעיף 4.2.1 מאפשר את כל השימושים המותרים בהגדרת 'דרך' בחוק. </w:t>
      </w:r>
    </w:p>
    <w:p w:rsidR="000A3686" w:rsidRPr="000A3686" w:rsidRDefault="000A3686" w:rsidP="001D058C">
      <w:pPr>
        <w:spacing w:line="360" w:lineRule="auto"/>
        <w:jc w:val="both"/>
        <w:rPr>
          <w:rtl/>
        </w:rPr>
      </w:pPr>
      <w:r>
        <w:rPr>
          <w:rFonts w:hint="cs"/>
          <w:rtl/>
        </w:rPr>
        <w:lastRenderedPageBreak/>
        <w:t xml:space="preserve">בהתאם לסעיף 1 לחוק, שהוא </w:t>
      </w:r>
      <w:r w:rsidR="008A1F7E">
        <w:rPr>
          <w:rFonts w:hint="cs"/>
          <w:rtl/>
        </w:rPr>
        <w:t>סעיף ההגדרות</w:t>
      </w:r>
      <w:r>
        <w:rPr>
          <w:rFonts w:hint="cs"/>
          <w:rtl/>
        </w:rPr>
        <w:t xml:space="preserve">, </w:t>
      </w:r>
      <w:r w:rsidR="001D058C">
        <w:rPr>
          <w:rFonts w:hint="cs"/>
          <w:rtl/>
        </w:rPr>
        <w:t>"</w:t>
      </w:r>
      <w:r w:rsidR="001D058C" w:rsidRPr="001D058C">
        <w:rPr>
          <w:rFonts w:hint="cs"/>
          <w:b/>
          <w:bCs/>
          <w:u w:val="single"/>
          <w:rtl/>
        </w:rPr>
        <w:t>דרך</w:t>
      </w:r>
      <w:r w:rsidR="001D058C">
        <w:rPr>
          <w:rFonts w:hint="cs"/>
          <w:rtl/>
        </w:rPr>
        <w:t>"</w:t>
      </w:r>
      <w:r>
        <w:rPr>
          <w:rFonts w:hint="cs"/>
          <w:rtl/>
        </w:rPr>
        <w:t xml:space="preserve"> היא "</w:t>
      </w:r>
      <w:r>
        <w:rPr>
          <w:rFonts w:hint="cs"/>
          <w:b/>
          <w:bCs/>
          <w:rtl/>
        </w:rPr>
        <w:t xml:space="preserve">תוואי למעבר רכב, </w:t>
      </w:r>
      <w:r w:rsidRPr="000A3686">
        <w:rPr>
          <w:rFonts w:hint="cs"/>
          <w:b/>
          <w:bCs/>
          <w:rtl/>
        </w:rPr>
        <w:t xml:space="preserve">הולכי רגל או בעלי חיים, לרבות מסילת ברזל, </w:t>
      </w:r>
      <w:r w:rsidRPr="001D058C">
        <w:rPr>
          <w:rFonts w:hint="cs"/>
          <w:b/>
          <w:bCs/>
          <w:u w:val="single"/>
          <w:rtl/>
        </w:rPr>
        <w:t>מבני דרך</w:t>
      </w:r>
      <w:r w:rsidRPr="000A3686">
        <w:rPr>
          <w:rFonts w:hint="cs"/>
          <w:b/>
          <w:bCs/>
          <w:rtl/>
        </w:rPr>
        <w:t>, אי תנועה, קיר תומך, קיר או סוללה למניעת רעש וכן תעלה, חפיר ומעביר מים בצד הדרך או מתחת לה, ו</w:t>
      </w:r>
      <w:r w:rsidRPr="001D058C">
        <w:rPr>
          <w:rFonts w:hint="cs"/>
          <w:b/>
          <w:bCs/>
          <w:u w:val="single"/>
          <w:rtl/>
        </w:rPr>
        <w:t>לרבות מתקני דרך</w:t>
      </w:r>
      <w:r w:rsidRPr="001D058C">
        <w:rPr>
          <w:rFonts w:hint="cs"/>
          <w:u w:val="single"/>
          <w:rtl/>
        </w:rPr>
        <w:t>"</w:t>
      </w:r>
      <w:r w:rsidRPr="001D058C">
        <w:rPr>
          <w:rFonts w:hint="cs"/>
          <w:rtl/>
        </w:rPr>
        <w:t>.</w:t>
      </w:r>
    </w:p>
    <w:p w:rsidR="000A3686" w:rsidRDefault="000A3686" w:rsidP="000A3686">
      <w:pPr>
        <w:spacing w:line="360" w:lineRule="auto"/>
        <w:ind w:hanging="482"/>
        <w:jc w:val="both"/>
        <w:rPr>
          <w:rtl/>
        </w:rPr>
      </w:pPr>
      <w:r>
        <w:rPr>
          <w:rtl/>
        </w:rPr>
        <w:tab/>
      </w:r>
    </w:p>
    <w:p w:rsidR="002E4645" w:rsidRDefault="000A3686" w:rsidP="00BD0285">
      <w:pPr>
        <w:spacing w:line="360" w:lineRule="auto"/>
        <w:ind w:hanging="624"/>
        <w:jc w:val="both"/>
        <w:rPr>
          <w:rtl/>
        </w:rPr>
      </w:pPr>
      <w:r>
        <w:rPr>
          <w:rtl/>
        </w:rPr>
        <w:tab/>
      </w:r>
      <w:r w:rsidR="002E4645">
        <w:rPr>
          <w:rFonts w:hint="cs"/>
          <w:rtl/>
        </w:rPr>
        <w:t>בהתאם לסעיף 1 לחוק, "</w:t>
      </w:r>
      <w:r w:rsidR="002E4645">
        <w:rPr>
          <w:rFonts w:hint="cs"/>
          <w:b/>
          <w:bCs/>
          <w:rtl/>
        </w:rPr>
        <w:t xml:space="preserve">מתקני דרך" </w:t>
      </w:r>
      <w:r w:rsidR="002E4645">
        <w:rPr>
          <w:rFonts w:hint="cs"/>
          <w:rtl/>
        </w:rPr>
        <w:t>הוא "</w:t>
      </w:r>
      <w:r w:rsidR="002E4645">
        <w:rPr>
          <w:rFonts w:hint="cs"/>
          <w:b/>
          <w:bCs/>
          <w:rtl/>
        </w:rPr>
        <w:t xml:space="preserve">כל אחד ממיתקנים </w:t>
      </w:r>
      <w:r w:rsidR="002E4645" w:rsidRPr="002E4645">
        <w:rPr>
          <w:rFonts w:hint="cs"/>
          <w:b/>
          <w:bCs/>
          <w:rtl/>
        </w:rPr>
        <w:t xml:space="preserve">אלה שבתוואי הדרך: אבן שפה, גדר, מחסום, מעקה, עמוד תאורה, רמזור, תחנה לאיסוף נוסעים ולהורדתם, תחנת המתנה לרכב, ספסל רחוב, מיתקן איסוף אשפה, עמדת קריאה לעזרה, תמרור, חניה במפלס הקרקע, מתקני איתות, בקרה, ניתור ונדידה הנדרשים להפעלת הדרך, </w:t>
      </w:r>
      <w:r w:rsidR="002E4645" w:rsidRPr="002E4645">
        <w:rPr>
          <w:rFonts w:hint="cs"/>
          <w:b/>
          <w:bCs/>
          <w:u w:val="single"/>
          <w:rtl/>
        </w:rPr>
        <w:t>מתקן טעינה לרכב חשמלי</w:t>
      </w:r>
      <w:r w:rsidR="002E4645" w:rsidRPr="002E4645">
        <w:rPr>
          <w:rFonts w:hint="cs"/>
          <w:b/>
          <w:bCs/>
          <w:rtl/>
        </w:rPr>
        <w:t>, מתקני חשמול וטעינה בחשמל לרכבת, וכן כל מיתקן הנדרש במישרין לצורך הפעלה של</w:t>
      </w:r>
      <w:r w:rsidR="002E4645">
        <w:rPr>
          <w:rFonts w:hint="cs"/>
          <w:b/>
          <w:bCs/>
          <w:rtl/>
        </w:rPr>
        <w:t xml:space="preserve"> דרך והמהווה חלק בלתי נפרד ממנה</w:t>
      </w:r>
      <w:r w:rsidR="002E4645">
        <w:rPr>
          <w:rFonts w:hint="cs"/>
          <w:rtl/>
        </w:rPr>
        <w:t xml:space="preserve">". </w:t>
      </w:r>
    </w:p>
    <w:p w:rsidR="002E4645" w:rsidRDefault="002E4645" w:rsidP="001D058C">
      <w:pPr>
        <w:spacing w:line="360" w:lineRule="auto"/>
        <w:ind w:hanging="482"/>
        <w:jc w:val="both"/>
        <w:rPr>
          <w:rtl/>
        </w:rPr>
      </w:pPr>
    </w:p>
    <w:p w:rsidR="000A3686" w:rsidRDefault="00BD0285" w:rsidP="00BD0285">
      <w:pPr>
        <w:spacing w:line="360" w:lineRule="auto"/>
        <w:ind w:hanging="624"/>
        <w:jc w:val="both"/>
        <w:rPr>
          <w:rtl/>
        </w:rPr>
      </w:pPr>
      <w:r>
        <w:rPr>
          <w:rtl/>
        </w:rPr>
        <w:tab/>
      </w:r>
      <w:r w:rsidR="001D058C">
        <w:rPr>
          <w:rFonts w:hint="cs"/>
          <w:rtl/>
        </w:rPr>
        <w:t>בהתאם לסעיף 1</w:t>
      </w:r>
      <w:r w:rsidR="002E4645">
        <w:rPr>
          <w:rFonts w:hint="cs"/>
          <w:rtl/>
        </w:rPr>
        <w:t xml:space="preserve"> לחוק</w:t>
      </w:r>
      <w:r w:rsidR="001D058C">
        <w:rPr>
          <w:rFonts w:hint="cs"/>
          <w:rtl/>
        </w:rPr>
        <w:t>, "</w:t>
      </w:r>
      <w:r w:rsidR="001D058C" w:rsidRPr="001D058C">
        <w:rPr>
          <w:rFonts w:hint="cs"/>
          <w:b/>
          <w:bCs/>
          <w:rtl/>
        </w:rPr>
        <w:t>מבנה דרך</w:t>
      </w:r>
      <w:r w:rsidR="001D058C">
        <w:rPr>
          <w:rFonts w:hint="cs"/>
          <w:rtl/>
        </w:rPr>
        <w:t>" הוא "</w:t>
      </w:r>
      <w:r w:rsidR="001D058C">
        <w:rPr>
          <w:rFonts w:hint="cs"/>
          <w:b/>
          <w:bCs/>
          <w:rtl/>
        </w:rPr>
        <w:t xml:space="preserve">מחלף, גשר או מנהרה לרבות חפיר או סוללה המצוים בתחילתו או בסופו של אחד מאלה וכן </w:t>
      </w:r>
      <w:r w:rsidR="001D058C" w:rsidRPr="001D058C">
        <w:rPr>
          <w:rFonts w:hint="cs"/>
          <w:b/>
          <w:bCs/>
          <w:u w:val="single"/>
          <w:rtl/>
        </w:rPr>
        <w:t>תחנה לתחבורה ציבורית</w:t>
      </w:r>
      <w:r w:rsidR="001D058C">
        <w:rPr>
          <w:rFonts w:hint="cs"/>
          <w:b/>
          <w:bCs/>
          <w:rtl/>
        </w:rPr>
        <w:t>, וכל בניין אחר הדרוש במישרין לצורך הקמתה של דרך או השימוש בה שקבע שר הפנים לאחר התייעצות עם שר התחבורה והבטיחות בדרכים...</w:t>
      </w:r>
      <w:r w:rsidR="001D058C">
        <w:rPr>
          <w:rFonts w:hint="cs"/>
          <w:rtl/>
        </w:rPr>
        <w:t xml:space="preserve">" </w:t>
      </w:r>
    </w:p>
    <w:p w:rsidR="002E4645" w:rsidRDefault="002E4645" w:rsidP="002E4645">
      <w:pPr>
        <w:spacing w:line="360" w:lineRule="auto"/>
        <w:jc w:val="both"/>
        <w:rPr>
          <w:rtl/>
        </w:rPr>
      </w:pPr>
    </w:p>
    <w:p w:rsidR="002E4645" w:rsidRDefault="00BD0285" w:rsidP="00BD0285">
      <w:pPr>
        <w:spacing w:line="360" w:lineRule="auto"/>
        <w:ind w:hanging="624"/>
        <w:jc w:val="both"/>
        <w:rPr>
          <w:b/>
          <w:bCs/>
          <w:rtl/>
        </w:rPr>
      </w:pPr>
      <w:r>
        <w:rPr>
          <w:rtl/>
        </w:rPr>
        <w:tab/>
      </w:r>
      <w:r w:rsidR="002E4645">
        <w:rPr>
          <w:rFonts w:hint="cs"/>
          <w:rtl/>
        </w:rPr>
        <w:t>בהתאם לסעיף 1 לחוק, "</w:t>
      </w:r>
      <w:r w:rsidR="002E4645">
        <w:rPr>
          <w:rFonts w:hint="cs"/>
          <w:b/>
          <w:bCs/>
          <w:rtl/>
        </w:rPr>
        <w:t>תחנה לתחבורה ציבורית</w:t>
      </w:r>
      <w:r w:rsidR="002E4645">
        <w:rPr>
          <w:rFonts w:hint="cs"/>
          <w:rtl/>
        </w:rPr>
        <w:t>"</w:t>
      </w:r>
      <w:r w:rsidR="002E4645">
        <w:rPr>
          <w:rFonts w:hint="cs"/>
          <w:b/>
          <w:bCs/>
          <w:rtl/>
        </w:rPr>
        <w:t xml:space="preserve"> </w:t>
      </w:r>
      <w:r w:rsidR="002E4645" w:rsidRPr="002E4645">
        <w:rPr>
          <w:rFonts w:hint="cs"/>
          <w:rtl/>
        </w:rPr>
        <w:t>היא</w:t>
      </w:r>
      <w:r w:rsidR="002E4645">
        <w:rPr>
          <w:rFonts w:hint="cs"/>
          <w:b/>
          <w:bCs/>
          <w:rtl/>
        </w:rPr>
        <w:t xml:space="preserve"> </w:t>
      </w:r>
      <w:r w:rsidR="002E4645" w:rsidRPr="002E4645">
        <w:rPr>
          <w:rFonts w:hint="cs"/>
          <w:rtl/>
        </w:rPr>
        <w:t>"</w:t>
      </w:r>
      <w:r w:rsidR="002E4645">
        <w:rPr>
          <w:rFonts w:hint="cs"/>
          <w:b/>
          <w:bCs/>
          <w:rtl/>
        </w:rPr>
        <w:t xml:space="preserve">תחנה לנוסעים בתחבורה ציבורית שאינה מיועדת רק לאיסוף נוסעים או להורדתם מרכב או מרכבת, </w:t>
      </w:r>
      <w:r w:rsidR="002E4645" w:rsidRPr="002E4645">
        <w:rPr>
          <w:rFonts w:hint="cs"/>
          <w:b/>
          <w:bCs/>
          <w:u w:val="single"/>
          <w:rtl/>
        </w:rPr>
        <w:t>לרבות מיתקנים המיועדים למתן שירותים נלווים הנדרשים במישרין להפעלת התחנה ולמתן שירותים בסיסיים לרווחת הנוסעים בה</w:t>
      </w:r>
      <w:r w:rsidR="002E4645" w:rsidRPr="002E4645">
        <w:rPr>
          <w:rFonts w:hint="cs"/>
          <w:rtl/>
        </w:rPr>
        <w:t>"</w:t>
      </w:r>
      <w:r w:rsidR="002E4645">
        <w:rPr>
          <w:rFonts w:hint="cs"/>
          <w:rtl/>
        </w:rPr>
        <w:t>.</w:t>
      </w:r>
    </w:p>
    <w:p w:rsidR="002E4645" w:rsidRDefault="002E4645" w:rsidP="002E4645">
      <w:pPr>
        <w:spacing w:line="360" w:lineRule="auto"/>
        <w:jc w:val="both"/>
        <w:rPr>
          <w:b/>
          <w:bCs/>
          <w:rtl/>
        </w:rPr>
      </w:pPr>
    </w:p>
    <w:p w:rsidR="00564840" w:rsidRDefault="00BD0285" w:rsidP="00BD0285">
      <w:pPr>
        <w:spacing w:line="360" w:lineRule="auto"/>
        <w:ind w:hanging="624"/>
        <w:jc w:val="both"/>
        <w:rPr>
          <w:rtl/>
        </w:rPr>
      </w:pPr>
      <w:r>
        <w:rPr>
          <w:rtl/>
        </w:rPr>
        <w:tab/>
      </w:r>
      <w:r w:rsidR="00564840">
        <w:rPr>
          <w:rFonts w:hint="cs"/>
          <w:rtl/>
        </w:rPr>
        <w:t xml:space="preserve">הנה כי כן, התכנית שאושרה מלכתחילה איפשרה שימושים של עמדות טעינה חשמלית וחנות נוחות, ונדמה כי תכנית זו מתכתבת גם עם ההגדרות בחוק של "דרך", "מבני דרך", "מתקני דרך" ו"תחנה לתחבורה ציבורית", כאשר לטעמי אין ספק כי בגדרי שירותים בסיסיים לרווחת הנוסעים בתחבורה </w:t>
      </w:r>
    </w:p>
    <w:p w:rsidR="00564840" w:rsidRDefault="00564840" w:rsidP="00E3785F">
      <w:pPr>
        <w:spacing w:line="360" w:lineRule="auto"/>
        <w:jc w:val="both"/>
        <w:rPr>
          <w:rtl/>
        </w:rPr>
      </w:pPr>
      <w:r>
        <w:rPr>
          <w:rFonts w:hint="cs"/>
          <w:rtl/>
        </w:rPr>
        <w:t>הציבורית ובמידה מסוימת אף לאלה שמפעילים את התחנה, נכללת גם "חנ</w:t>
      </w:r>
      <w:r w:rsidR="00E3785F">
        <w:rPr>
          <w:rFonts w:hint="cs"/>
          <w:rtl/>
        </w:rPr>
        <w:t>ו</w:t>
      </w:r>
      <w:r>
        <w:rPr>
          <w:rFonts w:hint="cs"/>
          <w:rtl/>
        </w:rPr>
        <w:t xml:space="preserve">ת נוחות". </w:t>
      </w:r>
    </w:p>
    <w:p w:rsidR="00564840" w:rsidRDefault="00564840" w:rsidP="00564840">
      <w:pPr>
        <w:spacing w:line="360" w:lineRule="auto"/>
        <w:jc w:val="both"/>
        <w:rPr>
          <w:rtl/>
        </w:rPr>
      </w:pPr>
    </w:p>
    <w:p w:rsidR="00564840" w:rsidRDefault="00D46D4F" w:rsidP="00BD0285">
      <w:pPr>
        <w:spacing w:line="360" w:lineRule="auto"/>
        <w:ind w:hanging="624"/>
        <w:jc w:val="both"/>
        <w:rPr>
          <w:rtl/>
        </w:rPr>
      </w:pPr>
      <w:r>
        <w:rPr>
          <w:rFonts w:hint="cs"/>
          <w:rtl/>
        </w:rPr>
        <w:t>19</w:t>
      </w:r>
      <w:r w:rsidR="00D67F48">
        <w:rPr>
          <w:rFonts w:hint="cs"/>
          <w:rtl/>
        </w:rPr>
        <w:t>.</w:t>
      </w:r>
      <w:r w:rsidR="00D67F48">
        <w:rPr>
          <w:rFonts w:hint="cs"/>
          <w:rtl/>
        </w:rPr>
        <w:tab/>
      </w:r>
      <w:r w:rsidR="00564840">
        <w:rPr>
          <w:rFonts w:hint="cs"/>
          <w:rtl/>
        </w:rPr>
        <w:t>ה</w:t>
      </w:r>
      <w:r w:rsidR="008A1F7E">
        <w:rPr>
          <w:rFonts w:hint="cs"/>
          <w:rtl/>
        </w:rPr>
        <w:t>תכנית לא</w:t>
      </w:r>
      <w:r w:rsidR="00564840">
        <w:rPr>
          <w:rFonts w:hint="cs"/>
          <w:rtl/>
        </w:rPr>
        <w:t xml:space="preserve"> מתכתבת </w:t>
      </w:r>
      <w:r w:rsidR="008A1F7E">
        <w:rPr>
          <w:rFonts w:hint="cs"/>
          <w:rtl/>
        </w:rPr>
        <w:t xml:space="preserve">רק </w:t>
      </w:r>
      <w:r w:rsidR="00564840">
        <w:rPr>
          <w:rFonts w:hint="cs"/>
          <w:rtl/>
        </w:rPr>
        <w:t xml:space="preserve">עם הוראות החוק, אלא גם עם תכנית המתאר הארצית שחלה </w:t>
      </w:r>
      <w:r w:rsidR="00D67F48">
        <w:rPr>
          <w:rFonts w:hint="cs"/>
          <w:rtl/>
        </w:rPr>
        <w:t>עליה</w:t>
      </w:r>
      <w:r w:rsidR="00E3785F">
        <w:rPr>
          <w:rFonts w:hint="cs"/>
          <w:rtl/>
        </w:rPr>
        <w:t xml:space="preserve">, תמ"א 1. לית מאן דפליג שתמ"א </w:t>
      </w:r>
      <w:r w:rsidR="00B04923">
        <w:rPr>
          <w:rFonts w:hint="cs"/>
          <w:rtl/>
        </w:rPr>
        <w:t>42 לא חייבה את המשיבים באשר לתכנית הרלוונטית משום שזו טרם נכנסה לתוקפה בהעדר אישור ממשלה (ראו סעיף 53 לחוק). בהחלטה בהתנגדות משיבה 1 הפנתה לתמ"א 1</w:t>
      </w:r>
      <w:r w:rsidR="0088371C">
        <w:rPr>
          <w:rFonts w:hint="cs"/>
          <w:rtl/>
        </w:rPr>
        <w:t xml:space="preserve"> </w:t>
      </w:r>
      <w:r w:rsidR="00B04923">
        <w:rPr>
          <w:rFonts w:hint="cs"/>
          <w:rtl/>
        </w:rPr>
        <w:t>ו</w:t>
      </w:r>
      <w:r w:rsidR="008A1F7E">
        <w:rPr>
          <w:rFonts w:hint="cs"/>
          <w:rtl/>
        </w:rPr>
        <w:t>ציינה</w:t>
      </w:r>
      <w:r w:rsidR="0088371C">
        <w:rPr>
          <w:rFonts w:hint="cs"/>
          <w:rtl/>
        </w:rPr>
        <w:t xml:space="preserve"> כי תכנית זו מאפשרת את השימושים שעליהם השיגה העותרת. </w:t>
      </w:r>
    </w:p>
    <w:p w:rsidR="000F0C88" w:rsidRPr="000F0C88" w:rsidRDefault="000F0C88" w:rsidP="000F0C88">
      <w:pPr>
        <w:spacing w:line="360" w:lineRule="auto"/>
        <w:ind w:hanging="340"/>
        <w:jc w:val="both"/>
        <w:rPr>
          <w:rtl/>
        </w:rPr>
      </w:pPr>
      <w:r>
        <w:rPr>
          <w:rtl/>
        </w:rPr>
        <w:tab/>
      </w:r>
      <w:r>
        <w:rPr>
          <w:rFonts w:hint="cs"/>
          <w:rtl/>
        </w:rPr>
        <w:t>בסעיף 5 לפרק התחבורה של תמ"א 1, שכותרתו "</w:t>
      </w:r>
      <w:r w:rsidRPr="000F0C88">
        <w:rPr>
          <w:rFonts w:hint="cs"/>
          <w:b/>
          <w:bCs/>
          <w:rtl/>
        </w:rPr>
        <w:t>הכנת</w:t>
      </w:r>
      <w:r>
        <w:rPr>
          <w:rFonts w:hint="cs"/>
          <w:rtl/>
        </w:rPr>
        <w:t xml:space="preserve"> </w:t>
      </w:r>
      <w:r>
        <w:rPr>
          <w:rFonts w:hint="cs"/>
          <w:b/>
          <w:bCs/>
          <w:rtl/>
        </w:rPr>
        <w:t>תכנית לדרך</w:t>
      </w:r>
      <w:r>
        <w:rPr>
          <w:rFonts w:hint="cs"/>
          <w:rtl/>
        </w:rPr>
        <w:t>", צוין ש"</w:t>
      </w:r>
      <w:r w:rsidR="00600622">
        <w:rPr>
          <w:rFonts w:hint="cs"/>
          <w:b/>
          <w:bCs/>
          <w:rtl/>
        </w:rPr>
        <w:t>תכנית הכוללת</w:t>
      </w:r>
      <w:r>
        <w:rPr>
          <w:rFonts w:hint="cs"/>
          <w:b/>
          <w:bCs/>
          <w:rtl/>
        </w:rPr>
        <w:t xml:space="preserve"> התוויית דרכים </w:t>
      </w:r>
      <w:r w:rsidRPr="000F0C88">
        <w:rPr>
          <w:rFonts w:hint="cs"/>
          <w:b/>
          <w:bCs/>
          <w:rtl/>
        </w:rPr>
        <w:t xml:space="preserve">הכלולות ברשת הדרכים הארצית, שינויים בהם או הרחבתן תכלול ותקבע שטחים מיועדים </w:t>
      </w:r>
      <w:r w:rsidR="00600622">
        <w:rPr>
          <w:rFonts w:hint="cs"/>
          <w:b/>
          <w:bCs/>
          <w:rtl/>
        </w:rPr>
        <w:t>לדרך, למיתקני דרך ולמבני ש</w:t>
      </w:r>
      <w:r w:rsidRPr="000F0C88">
        <w:rPr>
          <w:rFonts w:hint="cs"/>
          <w:b/>
          <w:bCs/>
          <w:rtl/>
        </w:rPr>
        <w:t>רות לאורך הדרך</w:t>
      </w:r>
      <w:r w:rsidR="00600622">
        <w:rPr>
          <w:rFonts w:hint="cs"/>
          <w:b/>
          <w:bCs/>
          <w:rtl/>
        </w:rPr>
        <w:t>. בתוכניות המוגשות על פי סעיף 261 לחוק לא תחול חובת ציון כל מבני השרות</w:t>
      </w:r>
      <w:r>
        <w:rPr>
          <w:rFonts w:hint="cs"/>
          <w:rtl/>
        </w:rPr>
        <w:t>"</w:t>
      </w:r>
      <w:r w:rsidR="00600622">
        <w:rPr>
          <w:rFonts w:hint="cs"/>
          <w:rtl/>
        </w:rPr>
        <w:t>.</w:t>
      </w:r>
    </w:p>
    <w:p w:rsidR="00600622" w:rsidRDefault="00BD0285" w:rsidP="00BD0285">
      <w:pPr>
        <w:spacing w:line="360" w:lineRule="auto"/>
        <w:ind w:hanging="624"/>
        <w:jc w:val="both"/>
        <w:rPr>
          <w:rtl/>
        </w:rPr>
      </w:pPr>
      <w:r>
        <w:rPr>
          <w:rtl/>
        </w:rPr>
        <w:lastRenderedPageBreak/>
        <w:tab/>
      </w:r>
      <w:r w:rsidR="000F0C88">
        <w:rPr>
          <w:rFonts w:hint="cs"/>
          <w:rtl/>
        </w:rPr>
        <w:t>בסעיף 2 לפרק התחבורה של תמ"א 1, הוא סעיף ההגדרות</w:t>
      </w:r>
      <w:r w:rsidR="00600622">
        <w:rPr>
          <w:rFonts w:hint="cs"/>
          <w:rtl/>
        </w:rPr>
        <w:t xml:space="preserve"> "</w:t>
      </w:r>
      <w:r w:rsidR="00600622">
        <w:rPr>
          <w:rFonts w:hint="cs"/>
          <w:b/>
          <w:bCs/>
          <w:rtl/>
        </w:rPr>
        <w:t>דרך</w:t>
      </w:r>
      <w:r w:rsidR="00600622">
        <w:rPr>
          <w:rFonts w:hint="cs"/>
          <w:rtl/>
        </w:rPr>
        <w:t xml:space="preserve">" מוגדרת </w:t>
      </w:r>
      <w:r w:rsidR="00600622">
        <w:rPr>
          <w:rFonts w:hint="cs"/>
          <w:b/>
          <w:bCs/>
          <w:rtl/>
        </w:rPr>
        <w:t>"כל דרך הכלולה ברשת הדרכים הארצית, לרבות קטע ממנה</w:t>
      </w:r>
      <w:r w:rsidR="00600622">
        <w:rPr>
          <w:rFonts w:hint="cs"/>
          <w:rtl/>
        </w:rPr>
        <w:t>".</w:t>
      </w:r>
      <w:r w:rsidR="000F0C88">
        <w:rPr>
          <w:rFonts w:hint="cs"/>
          <w:rtl/>
        </w:rPr>
        <w:t xml:space="preserve"> </w:t>
      </w:r>
    </w:p>
    <w:p w:rsidR="000F0C88" w:rsidRDefault="00BD0285" w:rsidP="00BD0285">
      <w:pPr>
        <w:spacing w:line="360" w:lineRule="auto"/>
        <w:ind w:hanging="624"/>
        <w:jc w:val="both"/>
        <w:rPr>
          <w:rtl/>
        </w:rPr>
      </w:pPr>
      <w:r>
        <w:rPr>
          <w:rtl/>
        </w:rPr>
        <w:tab/>
      </w:r>
      <w:r w:rsidR="000F0C88">
        <w:rPr>
          <w:rFonts w:hint="cs"/>
          <w:rtl/>
        </w:rPr>
        <w:t>"</w:t>
      </w:r>
      <w:r w:rsidR="000F0C88" w:rsidRPr="000F0C88">
        <w:rPr>
          <w:rFonts w:hint="cs"/>
          <w:b/>
          <w:bCs/>
          <w:rtl/>
        </w:rPr>
        <w:t>מבנה שירות</w:t>
      </w:r>
      <w:r w:rsidR="000F0C88">
        <w:rPr>
          <w:rFonts w:hint="cs"/>
          <w:rtl/>
        </w:rPr>
        <w:t>" מוגדר</w:t>
      </w:r>
      <w:r w:rsidR="00600622">
        <w:rPr>
          <w:rFonts w:hint="cs"/>
          <w:rtl/>
        </w:rPr>
        <w:t xml:space="preserve"> בסעיף 2</w:t>
      </w:r>
      <w:r w:rsidR="000F0C88">
        <w:rPr>
          <w:rFonts w:hint="cs"/>
          <w:rtl/>
        </w:rPr>
        <w:t xml:space="preserve"> כ"</w:t>
      </w:r>
      <w:r w:rsidR="000F0C88" w:rsidRPr="00600622">
        <w:rPr>
          <w:rFonts w:hint="cs"/>
          <w:b/>
          <w:bCs/>
          <w:u w:val="single"/>
          <w:rtl/>
        </w:rPr>
        <w:t>מבנה לשרות הנוסעים</w:t>
      </w:r>
      <w:r w:rsidR="000F0C88" w:rsidRPr="000F0C88">
        <w:rPr>
          <w:rFonts w:hint="cs"/>
          <w:b/>
          <w:bCs/>
          <w:rtl/>
        </w:rPr>
        <w:t xml:space="preserve">, לרבות תחנת מידע, תחנת תדלוק על פי תמ"א 18, </w:t>
      </w:r>
      <w:r w:rsidR="000F0C88" w:rsidRPr="00600622">
        <w:rPr>
          <w:rFonts w:hint="cs"/>
          <w:b/>
          <w:bCs/>
          <w:u w:val="single"/>
          <w:rtl/>
        </w:rPr>
        <w:t>מסעדה, קיוסק</w:t>
      </w:r>
      <w:r w:rsidR="000F0C88" w:rsidRPr="000F0C88">
        <w:rPr>
          <w:rFonts w:hint="cs"/>
          <w:b/>
          <w:bCs/>
          <w:rtl/>
        </w:rPr>
        <w:t xml:space="preserve">, </w:t>
      </w:r>
      <w:r w:rsidR="000F0C88">
        <w:rPr>
          <w:rFonts w:hint="cs"/>
          <w:b/>
          <w:bCs/>
          <w:rtl/>
        </w:rPr>
        <w:t>חניון לשרות הציבור, מצפה נוף</w:t>
      </w:r>
      <w:r w:rsidR="000F0C88">
        <w:rPr>
          <w:rFonts w:hint="cs"/>
          <w:rtl/>
        </w:rPr>
        <w:t>".</w:t>
      </w:r>
    </w:p>
    <w:p w:rsidR="00B04923" w:rsidRDefault="000F0C88" w:rsidP="00BD0285">
      <w:pPr>
        <w:spacing w:line="360" w:lineRule="auto"/>
        <w:ind w:hanging="624"/>
        <w:jc w:val="both"/>
        <w:rPr>
          <w:rtl/>
        </w:rPr>
      </w:pPr>
      <w:r>
        <w:rPr>
          <w:rtl/>
        </w:rPr>
        <w:tab/>
      </w:r>
      <w:r>
        <w:rPr>
          <w:rFonts w:hint="cs"/>
          <w:rtl/>
        </w:rPr>
        <w:t>"</w:t>
      </w:r>
      <w:r>
        <w:rPr>
          <w:rFonts w:hint="cs"/>
          <w:b/>
          <w:bCs/>
          <w:rtl/>
        </w:rPr>
        <w:t>מתקן דרך"</w:t>
      </w:r>
      <w:r>
        <w:rPr>
          <w:rFonts w:hint="cs"/>
          <w:rtl/>
        </w:rPr>
        <w:t xml:space="preserve"> מוגדר כ"</w:t>
      </w:r>
      <w:r>
        <w:rPr>
          <w:rFonts w:hint="cs"/>
          <w:b/>
          <w:bCs/>
          <w:rtl/>
        </w:rPr>
        <w:t>מבנה או מתקן המהווה חלק של דרך ודרוש להקמתה ו</w:t>
      </w:r>
      <w:r w:rsidRPr="00600622">
        <w:rPr>
          <w:rFonts w:hint="cs"/>
          <w:b/>
          <w:bCs/>
          <w:u w:val="single"/>
          <w:rtl/>
        </w:rPr>
        <w:t>לפעולתה</w:t>
      </w:r>
      <w:r>
        <w:rPr>
          <w:rFonts w:hint="cs"/>
          <w:b/>
          <w:bCs/>
          <w:rtl/>
        </w:rPr>
        <w:t>, לרבות גשר, מנהרה, מעביר מים, אבן שפה, גדר, עמוד תאורה,</w:t>
      </w:r>
      <w:r w:rsidR="00600622">
        <w:rPr>
          <w:rFonts w:hint="cs"/>
          <w:b/>
          <w:bCs/>
          <w:rtl/>
        </w:rPr>
        <w:t xml:space="preserve"> </w:t>
      </w:r>
      <w:r w:rsidR="00600622" w:rsidRPr="00600622">
        <w:rPr>
          <w:rFonts w:hint="cs"/>
          <w:b/>
          <w:bCs/>
          <w:rtl/>
        </w:rPr>
        <w:t>רמזור, אי תנועה, תעלה,</w:t>
      </w:r>
      <w:r w:rsidR="00600622">
        <w:rPr>
          <w:rFonts w:hint="cs"/>
          <w:b/>
          <w:bCs/>
          <w:rtl/>
        </w:rPr>
        <w:t xml:space="preserve"> קיר או סוללה למניעת רעש, תחנה ל</w:t>
      </w:r>
      <w:r w:rsidR="00600622" w:rsidRPr="00600622">
        <w:rPr>
          <w:rFonts w:hint="cs"/>
          <w:b/>
          <w:bCs/>
          <w:rtl/>
        </w:rPr>
        <w:t xml:space="preserve">איסוף </w:t>
      </w:r>
      <w:r w:rsidR="00600622">
        <w:rPr>
          <w:rFonts w:hint="cs"/>
          <w:b/>
          <w:bCs/>
          <w:rtl/>
        </w:rPr>
        <w:t>ולהורדת נוסעים, תחנת המתנה לרכב...</w:t>
      </w:r>
      <w:r>
        <w:rPr>
          <w:rFonts w:hint="cs"/>
          <w:rtl/>
        </w:rPr>
        <w:t>"</w:t>
      </w:r>
      <w:r w:rsidR="00982037">
        <w:rPr>
          <w:rFonts w:hint="cs"/>
          <w:rtl/>
        </w:rPr>
        <w:t xml:space="preserve">. </w:t>
      </w:r>
    </w:p>
    <w:p w:rsidR="00982037" w:rsidRDefault="00982037" w:rsidP="00564840">
      <w:pPr>
        <w:spacing w:line="360" w:lineRule="auto"/>
        <w:ind w:hanging="340"/>
        <w:jc w:val="both"/>
        <w:rPr>
          <w:rtl/>
        </w:rPr>
      </w:pPr>
    </w:p>
    <w:p w:rsidR="00B04923" w:rsidRDefault="00D67F48" w:rsidP="00BD0285">
      <w:pPr>
        <w:spacing w:line="360" w:lineRule="auto"/>
        <w:ind w:hanging="624"/>
        <w:jc w:val="both"/>
        <w:rPr>
          <w:rtl/>
        </w:rPr>
      </w:pPr>
      <w:r>
        <w:rPr>
          <w:rFonts w:hint="cs"/>
          <w:rtl/>
        </w:rPr>
        <w:t>20</w:t>
      </w:r>
      <w:r w:rsidR="00B04923">
        <w:rPr>
          <w:rFonts w:hint="cs"/>
          <w:rtl/>
        </w:rPr>
        <w:t>.</w:t>
      </w:r>
      <w:r w:rsidR="00B04923">
        <w:rPr>
          <w:rFonts w:hint="cs"/>
          <w:rtl/>
        </w:rPr>
        <w:tab/>
      </w:r>
      <w:r w:rsidR="00982037">
        <w:rPr>
          <w:rFonts w:hint="cs"/>
          <w:rtl/>
        </w:rPr>
        <w:t>לסיכום עניין זה, סבורני כי לא ניתן לומר שהתכנית שהופקדה לא ת</w:t>
      </w:r>
      <w:r w:rsidR="003808E7">
        <w:rPr>
          <w:rFonts w:hint="cs"/>
          <w:rtl/>
        </w:rPr>
        <w:t>אמה</w:t>
      </w:r>
      <w:r w:rsidR="00982037">
        <w:rPr>
          <w:rFonts w:hint="cs"/>
          <w:rtl/>
        </w:rPr>
        <w:t xml:space="preserve"> את התכנית הראשו</w:t>
      </w:r>
      <w:r w:rsidR="008A1F7E">
        <w:rPr>
          <w:rFonts w:hint="cs"/>
          <w:rtl/>
        </w:rPr>
        <w:t>נה שנדונה במוסדות התכנון</w:t>
      </w:r>
      <w:r w:rsidR="00982037">
        <w:rPr>
          <w:rFonts w:hint="cs"/>
          <w:rtl/>
        </w:rPr>
        <w:t xml:space="preserve">, קרי התקנון של התכנית ולא ניתן לומר כי אותה תכנית, לרבות השימושים של עמדות טעינה חשמלית וחנות נוחות לא מעוגנת בחוק או עומדת בסתירה לתכנית העל הרלוונטית, תמ"א 1. </w:t>
      </w:r>
    </w:p>
    <w:p w:rsidR="00D67F48" w:rsidRDefault="00982037" w:rsidP="00D67F48">
      <w:pPr>
        <w:spacing w:line="360" w:lineRule="auto"/>
        <w:ind w:hanging="340"/>
        <w:jc w:val="both"/>
        <w:rPr>
          <w:rtl/>
        </w:rPr>
      </w:pPr>
      <w:r>
        <w:rPr>
          <w:rtl/>
        </w:rPr>
        <w:tab/>
      </w:r>
      <w:r>
        <w:rPr>
          <w:rFonts w:hint="cs"/>
          <w:rtl/>
        </w:rPr>
        <w:t>כפועל יוצא, לא ניתן לומר כי ביסוס החלטת משיבה 1 לדחות טיעוני העותרת בהתאם לנימוקים אלה</w:t>
      </w:r>
      <w:r w:rsidR="008A1F7E">
        <w:rPr>
          <w:rFonts w:hint="cs"/>
          <w:rtl/>
        </w:rPr>
        <w:t xml:space="preserve"> התקבלה</w:t>
      </w:r>
      <w:r>
        <w:rPr>
          <w:rFonts w:hint="cs"/>
          <w:rtl/>
        </w:rPr>
        <w:t xml:space="preserve"> בחוסר סמכות. החלטת </w:t>
      </w:r>
      <w:r w:rsidR="008A1F7E">
        <w:rPr>
          <w:rFonts w:hint="cs"/>
          <w:rtl/>
        </w:rPr>
        <w:t>משיבה 1 התקבלו</w:t>
      </w:r>
      <w:r>
        <w:rPr>
          <w:rFonts w:hint="cs"/>
          <w:rtl/>
        </w:rPr>
        <w:t xml:space="preserve"> ב</w:t>
      </w:r>
      <w:r w:rsidR="008A1F7E">
        <w:rPr>
          <w:rFonts w:hint="cs"/>
          <w:rtl/>
        </w:rPr>
        <w:t>התאם ל</w:t>
      </w:r>
      <w:r>
        <w:rPr>
          <w:rFonts w:hint="cs"/>
          <w:rtl/>
        </w:rPr>
        <w:t>סמכות</w:t>
      </w:r>
      <w:r w:rsidR="008A1F7E">
        <w:rPr>
          <w:rFonts w:hint="cs"/>
          <w:rtl/>
        </w:rPr>
        <w:t>ה</w:t>
      </w:r>
      <w:r>
        <w:rPr>
          <w:rFonts w:hint="cs"/>
          <w:rtl/>
        </w:rPr>
        <w:t xml:space="preserve"> ו</w:t>
      </w:r>
      <w:r w:rsidR="008A1F7E">
        <w:rPr>
          <w:rFonts w:hint="cs"/>
          <w:rtl/>
        </w:rPr>
        <w:t xml:space="preserve">על-פי </w:t>
      </w:r>
      <w:r>
        <w:rPr>
          <w:rFonts w:hint="cs"/>
          <w:rtl/>
        </w:rPr>
        <w:t>דין</w:t>
      </w:r>
      <w:r w:rsidR="001A360B">
        <w:rPr>
          <w:rFonts w:hint="cs"/>
          <w:rtl/>
        </w:rPr>
        <w:t>.</w:t>
      </w:r>
    </w:p>
    <w:p w:rsidR="00BC4B54" w:rsidRDefault="00D67F48" w:rsidP="00D67F48">
      <w:pPr>
        <w:spacing w:line="360" w:lineRule="auto"/>
        <w:ind w:hanging="340"/>
        <w:jc w:val="both"/>
        <w:rPr>
          <w:rtl/>
        </w:rPr>
      </w:pPr>
      <w:r>
        <w:rPr>
          <w:rtl/>
        </w:rPr>
        <w:t xml:space="preserve"> </w:t>
      </w:r>
    </w:p>
    <w:p w:rsidR="009F644C" w:rsidRDefault="00D67F48" w:rsidP="00BD0285">
      <w:pPr>
        <w:spacing w:line="360" w:lineRule="auto"/>
        <w:ind w:hanging="624"/>
        <w:jc w:val="both"/>
        <w:rPr>
          <w:rtl/>
        </w:rPr>
      </w:pPr>
      <w:r>
        <w:rPr>
          <w:rFonts w:hint="cs"/>
          <w:rtl/>
        </w:rPr>
        <w:t>21</w:t>
      </w:r>
      <w:r w:rsidR="009F644C">
        <w:rPr>
          <w:rFonts w:hint="cs"/>
          <w:rtl/>
        </w:rPr>
        <w:t>.</w:t>
      </w:r>
      <w:r w:rsidR="009F644C">
        <w:rPr>
          <w:rFonts w:hint="cs"/>
          <w:rtl/>
        </w:rPr>
        <w:tab/>
        <w:t>אכן, בדיון לקראת ההפקדה נאמרו מספר אמירות</w:t>
      </w:r>
      <w:r w:rsidR="00441E7E">
        <w:rPr>
          <w:rFonts w:hint="cs"/>
          <w:rtl/>
        </w:rPr>
        <w:t>, אליהן גם הפנה ב"כ העותרת בכתב העתירה  ובדיון, מהן ניתן היה להבין כי הייעוד של תא שטח 200 הוא לא מסחרי כי אם לצרכי תחבורה ציבורית</w:t>
      </w:r>
      <w:r w:rsidR="00BB5F62">
        <w:rPr>
          <w:rFonts w:hint="cs"/>
          <w:rtl/>
        </w:rPr>
        <w:t xml:space="preserve">, ואולם, </w:t>
      </w:r>
      <w:r w:rsidR="0086153C">
        <w:rPr>
          <w:rFonts w:hint="cs"/>
          <w:rtl/>
        </w:rPr>
        <w:t>מתמלול הישיבה שצורף כנספח לכתבי הטענות</w:t>
      </w:r>
      <w:r w:rsidR="00BB5F62">
        <w:rPr>
          <w:rFonts w:hint="cs"/>
          <w:rtl/>
        </w:rPr>
        <w:t xml:space="preserve"> </w:t>
      </w:r>
      <w:r w:rsidR="0086153C">
        <w:rPr>
          <w:rFonts w:hint="cs"/>
          <w:rtl/>
        </w:rPr>
        <w:t xml:space="preserve">עולה </w:t>
      </w:r>
      <w:r w:rsidR="00BB5F62">
        <w:rPr>
          <w:rFonts w:hint="cs"/>
          <w:rtl/>
        </w:rPr>
        <w:t>שלא כל מה שנאמר בישיבה תומלל</w:t>
      </w:r>
      <w:r w:rsidR="0086153C">
        <w:rPr>
          <w:rFonts w:hint="cs"/>
          <w:rtl/>
        </w:rPr>
        <w:t xml:space="preserve"> וכן </w:t>
      </w:r>
      <w:r w:rsidR="00BB5F62">
        <w:rPr>
          <w:rFonts w:hint="cs"/>
          <w:rtl/>
        </w:rPr>
        <w:t>שבנושא זה, של השימושים שייעשו באותו תא שטח היו מחלוקות</w:t>
      </w:r>
      <w:r w:rsidR="0086153C">
        <w:rPr>
          <w:rFonts w:hint="cs"/>
          <w:rtl/>
        </w:rPr>
        <w:t xml:space="preserve"> בין משתתפי הישיבה</w:t>
      </w:r>
      <w:r w:rsidR="00BB5F62">
        <w:rPr>
          <w:rFonts w:hint="cs"/>
          <w:rtl/>
        </w:rPr>
        <w:t xml:space="preserve">. </w:t>
      </w:r>
      <w:r w:rsidR="0086153C">
        <w:rPr>
          <w:rFonts w:hint="cs"/>
          <w:rtl/>
        </w:rPr>
        <w:t xml:space="preserve">מכל מקום, נציגת לשכת התכנון של מחוז דרום אמרה </w:t>
      </w:r>
      <w:r w:rsidR="00441E7E">
        <w:rPr>
          <w:rFonts w:hint="cs"/>
          <w:rtl/>
        </w:rPr>
        <w:t xml:space="preserve">באותו דיון </w:t>
      </w:r>
      <w:r w:rsidR="0086153C">
        <w:rPr>
          <w:rFonts w:hint="cs"/>
          <w:rtl/>
        </w:rPr>
        <w:t xml:space="preserve">גם את הדברים הבאים "הועדה מציינת כי מדובר בשטח כלוא </w:t>
      </w:r>
      <w:r w:rsidR="0086153C" w:rsidRPr="00441E7E">
        <w:rPr>
          <w:rFonts w:hint="cs"/>
          <w:b/>
          <w:bCs/>
          <w:rtl/>
        </w:rPr>
        <w:t>שככול הנראה</w:t>
      </w:r>
      <w:r w:rsidR="0086153C">
        <w:rPr>
          <w:rFonts w:hint="cs"/>
          <w:rtl/>
        </w:rPr>
        <w:t xml:space="preserve"> יכולה להיות בו תועלת </w:t>
      </w:r>
      <w:r w:rsidR="0086153C" w:rsidRPr="00441E7E">
        <w:rPr>
          <w:rFonts w:hint="cs"/>
          <w:b/>
          <w:bCs/>
          <w:u w:val="single"/>
          <w:rtl/>
        </w:rPr>
        <w:t>למשתמשי הדרך</w:t>
      </w:r>
      <w:r w:rsidR="0086153C" w:rsidRPr="00441E7E">
        <w:rPr>
          <w:rFonts w:hint="cs"/>
          <w:b/>
          <w:bCs/>
          <w:rtl/>
        </w:rPr>
        <w:t xml:space="preserve"> ו</w:t>
      </w:r>
      <w:r w:rsidR="0086153C" w:rsidRPr="00441E7E">
        <w:rPr>
          <w:rFonts w:hint="cs"/>
          <w:b/>
          <w:bCs/>
          <w:u w:val="single"/>
          <w:rtl/>
        </w:rPr>
        <w:t>התחבורה הציבורית</w:t>
      </w:r>
      <w:r w:rsidR="0086153C" w:rsidRPr="00441E7E">
        <w:rPr>
          <w:rFonts w:hint="cs"/>
          <w:b/>
          <w:bCs/>
          <w:rtl/>
        </w:rPr>
        <w:t xml:space="preserve">, אולם נראה כי נדרש עדיין לגבש את המתווה לגבי השימוש המיטבי בתא שטח זה </w:t>
      </w:r>
      <w:r w:rsidR="0086153C">
        <w:rPr>
          <w:rFonts w:hint="cs"/>
          <w:rtl/>
        </w:rPr>
        <w:t xml:space="preserve">בהתייחס לכלל התכניות תחבורה ציבורית. הועדה </w:t>
      </w:r>
      <w:r w:rsidR="0086153C" w:rsidRPr="0086153C">
        <w:rPr>
          <w:rFonts w:hint="cs"/>
          <w:rtl/>
        </w:rPr>
        <w:t xml:space="preserve">סבורה </w:t>
      </w:r>
      <w:r w:rsidR="0086153C">
        <w:rPr>
          <w:rFonts w:hint="cs"/>
          <w:rtl/>
        </w:rPr>
        <w:t>כי לא נכון לסמן את תא השטח ביעוד דרך מוצעת וקובעת כי יש לסמנו כמרכז תחבורה, בהמשך להתייעצות שהתקיימה עם האגף לתחבורה ציבורית במשרד התחבורה ועם אגף תחבורה באגף התכנון, יירשם בטבלה 5 בהוראות תכנית כי היקף הזכויות בתא שטח זה יהיה 250 מ"ר אשר ישמשו לתשתיות תפעוליות עבור תחבורה ציבורית"</w:t>
      </w:r>
      <w:r w:rsidR="003808E7">
        <w:rPr>
          <w:rFonts w:hint="cs"/>
          <w:rtl/>
        </w:rPr>
        <w:t xml:space="preserve"> (דגש לא במקור, י' ל')</w:t>
      </w:r>
      <w:r w:rsidR="0086153C">
        <w:rPr>
          <w:rFonts w:hint="cs"/>
          <w:rtl/>
        </w:rPr>
        <w:t>.</w:t>
      </w:r>
      <w:r w:rsidR="003808E7">
        <w:rPr>
          <w:rFonts w:hint="cs"/>
          <w:rtl/>
        </w:rPr>
        <w:t xml:space="preserve"> </w:t>
      </w:r>
    </w:p>
    <w:p w:rsidR="003808E7" w:rsidRDefault="003808E7" w:rsidP="0086153C">
      <w:pPr>
        <w:spacing w:line="360" w:lineRule="auto"/>
        <w:ind w:hanging="340"/>
        <w:jc w:val="both"/>
        <w:rPr>
          <w:rtl/>
        </w:rPr>
      </w:pPr>
      <w:r>
        <w:rPr>
          <w:rtl/>
        </w:rPr>
        <w:tab/>
      </w:r>
    </w:p>
    <w:p w:rsidR="00D67F48" w:rsidRDefault="003808E7" w:rsidP="00BD0285">
      <w:pPr>
        <w:spacing w:line="360" w:lineRule="auto"/>
        <w:ind w:hanging="624"/>
        <w:jc w:val="both"/>
        <w:rPr>
          <w:rtl/>
        </w:rPr>
      </w:pPr>
      <w:r>
        <w:rPr>
          <w:rtl/>
        </w:rPr>
        <w:tab/>
      </w:r>
      <w:r>
        <w:rPr>
          <w:rFonts w:hint="cs"/>
          <w:rtl/>
        </w:rPr>
        <w:t xml:space="preserve">כמפורט לעיל, </w:t>
      </w:r>
      <w:r w:rsidR="00441E7E">
        <w:rPr>
          <w:rFonts w:hint="cs"/>
          <w:rtl/>
        </w:rPr>
        <w:t xml:space="preserve">בשלב מאוחר לישיבה זו </w:t>
      </w:r>
      <w:r>
        <w:rPr>
          <w:rFonts w:hint="cs"/>
          <w:rtl/>
        </w:rPr>
        <w:t xml:space="preserve">הגורמים המוסמכים </w:t>
      </w:r>
      <w:r w:rsidR="00441E7E">
        <w:rPr>
          <w:rFonts w:hint="cs"/>
          <w:rtl/>
        </w:rPr>
        <w:t xml:space="preserve">גיבשו </w:t>
      </w:r>
      <w:r w:rsidR="001F542A">
        <w:rPr>
          <w:rFonts w:hint="cs"/>
          <w:rtl/>
        </w:rPr>
        <w:t>עמדתם ביחס למתווה הנכון</w:t>
      </w:r>
      <w:r>
        <w:rPr>
          <w:rFonts w:hint="cs"/>
          <w:rtl/>
        </w:rPr>
        <w:t xml:space="preserve"> ביחס לתא שטח 200, וזאת בין היתר גם בהתייחס לגודל מבנה חנות הנוחות שבו שהוגבל ל-30 מ"ר בלבד. </w:t>
      </w:r>
    </w:p>
    <w:p w:rsidR="00D67F48" w:rsidRDefault="00D67F48" w:rsidP="00BD0285">
      <w:pPr>
        <w:spacing w:line="360" w:lineRule="auto"/>
        <w:ind w:hanging="624"/>
        <w:jc w:val="both"/>
        <w:rPr>
          <w:rtl/>
        </w:rPr>
      </w:pPr>
    </w:p>
    <w:p w:rsidR="00D67F48" w:rsidRDefault="00D67F48" w:rsidP="00D67F48">
      <w:pPr>
        <w:spacing w:line="360" w:lineRule="auto"/>
        <w:ind w:hanging="340"/>
        <w:jc w:val="both"/>
        <w:rPr>
          <w:rtl/>
        </w:rPr>
      </w:pPr>
      <w:r>
        <w:rPr>
          <w:rtl/>
        </w:rPr>
        <w:tab/>
      </w:r>
      <w:r>
        <w:rPr>
          <w:rFonts w:hint="cs"/>
          <w:rtl/>
        </w:rPr>
        <w:t>לא למותר לציין בהקשר זה, כי ב"כ העותרת אישר בדיון שהתקיים שאין ביכולתו להציג ולו פסק דין אחד לתמוך עתירתו לסעדים שהתבקשו על בסיס טענה דומה של פער בין הדברים שנאמרו בדיון לקראת ההפקדה לבין התכנית שלבסוף הופקדה.</w:t>
      </w:r>
    </w:p>
    <w:p w:rsidR="003808E7" w:rsidRDefault="003808E7" w:rsidP="00BD0285">
      <w:pPr>
        <w:spacing w:line="360" w:lineRule="auto"/>
        <w:ind w:hanging="624"/>
        <w:jc w:val="both"/>
        <w:rPr>
          <w:rtl/>
        </w:rPr>
      </w:pPr>
      <w:r>
        <w:rPr>
          <w:rFonts w:hint="cs"/>
          <w:rtl/>
        </w:rPr>
        <w:t xml:space="preserve"> </w:t>
      </w:r>
    </w:p>
    <w:p w:rsidR="003808E7" w:rsidRDefault="003808E7" w:rsidP="003808E7">
      <w:pPr>
        <w:spacing w:line="360" w:lineRule="auto"/>
        <w:ind w:hanging="340"/>
        <w:jc w:val="both"/>
        <w:rPr>
          <w:rtl/>
        </w:rPr>
      </w:pPr>
    </w:p>
    <w:p w:rsidR="003808E7" w:rsidRDefault="00D67F48" w:rsidP="00BD0285">
      <w:pPr>
        <w:spacing w:line="360" w:lineRule="auto"/>
        <w:ind w:hanging="624"/>
        <w:jc w:val="both"/>
        <w:rPr>
          <w:rtl/>
        </w:rPr>
      </w:pPr>
      <w:r>
        <w:rPr>
          <w:rFonts w:hint="cs"/>
          <w:rtl/>
        </w:rPr>
        <w:t>22</w:t>
      </w:r>
      <w:r w:rsidR="003808E7">
        <w:rPr>
          <w:rFonts w:hint="cs"/>
          <w:rtl/>
        </w:rPr>
        <w:t>.</w:t>
      </w:r>
      <w:r w:rsidR="003808E7">
        <w:rPr>
          <w:rFonts w:hint="cs"/>
          <w:rtl/>
        </w:rPr>
        <w:tab/>
        <w:t>אף אם ניתן היה לראות באמירות שנאמרו בדיון לקראת ההפקדה משום החלטה של הרשות ביחס ליעוד של תא שטח 200 וביחס לכך שלא יעשה שם שימוש מסחרי</w:t>
      </w:r>
      <w:r w:rsidR="001F542A">
        <w:rPr>
          <w:rFonts w:hint="cs"/>
          <w:rtl/>
        </w:rPr>
        <w:t>, וספק בעיני אם כך הם פני הדברים,</w:t>
      </w:r>
      <w:r w:rsidR="00CF654C">
        <w:rPr>
          <w:rFonts w:hint="cs"/>
          <w:rtl/>
        </w:rPr>
        <w:t xml:space="preserve"> "</w:t>
      </w:r>
      <w:r w:rsidR="00CF654C">
        <w:rPr>
          <w:rFonts w:hint="cs"/>
          <w:b/>
          <w:bCs/>
          <w:rtl/>
        </w:rPr>
        <w:t>נקודת המוצא העקרונית היא שרשות מינהלית רשאית, ככלל, לחזור בה, לתקן, לבטל או לשנות החלטות קודמות שקיבלה בעניין נתון</w:t>
      </w:r>
      <w:r w:rsidR="00CF654C">
        <w:rPr>
          <w:rFonts w:hint="cs"/>
          <w:rtl/>
        </w:rPr>
        <w:t xml:space="preserve">" </w:t>
      </w:r>
      <w:r w:rsidR="001F542A">
        <w:rPr>
          <w:rFonts w:hint="cs"/>
          <w:rtl/>
        </w:rPr>
        <w:t>(</w:t>
      </w:r>
      <w:r w:rsidR="00CF654C">
        <w:rPr>
          <w:rFonts w:hint="cs"/>
          <w:rtl/>
        </w:rPr>
        <w:t>י' דותן "</w:t>
      </w:r>
      <w:r w:rsidR="00CF654C">
        <w:rPr>
          <w:rFonts w:hint="cs"/>
          <w:b/>
          <w:bCs/>
          <w:rtl/>
        </w:rPr>
        <w:t>ביקורת שיפוטית על שיקול דעת מנהלי</w:t>
      </w:r>
      <w:r w:rsidR="00CF654C">
        <w:rPr>
          <w:rFonts w:hint="cs"/>
          <w:rtl/>
        </w:rPr>
        <w:t>", כרך ב', עמ' 709</w:t>
      </w:r>
      <w:r w:rsidR="001F542A">
        <w:rPr>
          <w:rFonts w:hint="cs"/>
          <w:rtl/>
        </w:rPr>
        <w:t>)</w:t>
      </w:r>
      <w:r w:rsidR="00CF654C">
        <w:rPr>
          <w:rFonts w:hint="cs"/>
          <w:rtl/>
        </w:rPr>
        <w:t xml:space="preserve">. עניין </w:t>
      </w:r>
      <w:r w:rsidR="001F542A">
        <w:rPr>
          <w:rFonts w:hint="cs"/>
          <w:rtl/>
        </w:rPr>
        <w:t>זה נלמד בין היתר</w:t>
      </w:r>
      <w:r w:rsidR="00CF654C">
        <w:rPr>
          <w:rFonts w:hint="cs"/>
          <w:rtl/>
        </w:rPr>
        <w:t xml:space="preserve"> מסעיף 15 לחוק הפרשנות, התשמ"א </w:t>
      </w:r>
      <w:r w:rsidR="00CF654C">
        <w:rPr>
          <w:rtl/>
        </w:rPr>
        <w:t>–</w:t>
      </w:r>
      <w:r w:rsidR="00CF654C">
        <w:rPr>
          <w:rFonts w:hint="cs"/>
          <w:rtl/>
        </w:rPr>
        <w:t xml:space="preserve"> 1981 הקובע כי "</w:t>
      </w:r>
      <w:r w:rsidR="00CF654C">
        <w:rPr>
          <w:rFonts w:hint="cs"/>
          <w:b/>
          <w:bCs/>
          <w:rtl/>
        </w:rPr>
        <w:t xml:space="preserve">הסמכה להתקין תקנות או ליתן הוראת מינהל </w:t>
      </w:r>
      <w:r w:rsidR="00CF654C">
        <w:rPr>
          <w:b/>
          <w:bCs/>
          <w:rtl/>
        </w:rPr>
        <w:t>–</w:t>
      </w:r>
      <w:r w:rsidR="00CF654C">
        <w:rPr>
          <w:rFonts w:hint="cs"/>
          <w:b/>
          <w:bCs/>
          <w:rtl/>
        </w:rPr>
        <w:t xml:space="preserve"> משמע גם הסמכה לתקנן, לשנותן, להתלותן או לבטלן בדרך שהותקנו התקנות או ניתנה ההוראה</w:t>
      </w:r>
      <w:r w:rsidR="00CF654C">
        <w:rPr>
          <w:rFonts w:hint="cs"/>
          <w:rtl/>
        </w:rPr>
        <w:t xml:space="preserve">". ברי, כי שינוי החלטה על ידי הרשות לא יכול להיעשות סתם כך, וגם בעניין זה יש לוודא שהרשות פועלת לטובת קידום האינטרס הציבורי מבלי לפגוע מעבר לנדרש בזכויות הפרט. </w:t>
      </w:r>
    </w:p>
    <w:p w:rsidR="00E72757" w:rsidRDefault="00CF654C" w:rsidP="00BD0285">
      <w:pPr>
        <w:spacing w:line="360" w:lineRule="auto"/>
        <w:ind w:hanging="624"/>
        <w:jc w:val="both"/>
        <w:rPr>
          <w:rtl/>
        </w:rPr>
      </w:pPr>
      <w:r>
        <w:rPr>
          <w:rtl/>
        </w:rPr>
        <w:tab/>
      </w:r>
      <w:r>
        <w:rPr>
          <w:rFonts w:hint="cs"/>
          <w:rtl/>
        </w:rPr>
        <w:t>שיקול הדעת והגמישות של</w:t>
      </w:r>
      <w:r w:rsidR="00080D21">
        <w:rPr>
          <w:rFonts w:hint="cs"/>
          <w:rtl/>
        </w:rPr>
        <w:t xml:space="preserve"> הרשויות לשוב ולבחון את החלטותיהן</w:t>
      </w:r>
      <w:r w:rsidR="00E46B51">
        <w:rPr>
          <w:rFonts w:hint="cs"/>
          <w:rtl/>
        </w:rPr>
        <w:t xml:space="preserve"> הוא נכון ביתר שאת ביחס לרשויות תכנון</w:t>
      </w:r>
      <w:r w:rsidR="00E72757">
        <w:rPr>
          <w:rFonts w:hint="cs"/>
          <w:rtl/>
        </w:rPr>
        <w:t xml:space="preserve">. </w:t>
      </w:r>
      <w:r w:rsidR="00E46B51">
        <w:rPr>
          <w:rFonts w:hint="cs"/>
          <w:rtl/>
        </w:rPr>
        <w:t xml:space="preserve">אופי ההליך התכנוני של קיום ישיבות והתדיינויות עם </w:t>
      </w:r>
      <w:r w:rsidR="00E72757">
        <w:rPr>
          <w:rFonts w:hint="cs"/>
          <w:rtl/>
        </w:rPr>
        <w:t>גורמים מקצועיים שונים, בשלבים שונים, לרבות</w:t>
      </w:r>
      <w:r w:rsidR="00E46B51">
        <w:rPr>
          <w:rFonts w:hint="cs"/>
          <w:rtl/>
        </w:rPr>
        <w:t xml:space="preserve"> בשלב </w:t>
      </w:r>
      <w:r w:rsidR="00E72757">
        <w:rPr>
          <w:rFonts w:hint="cs"/>
          <w:rtl/>
        </w:rPr>
        <w:t xml:space="preserve">בחינת </w:t>
      </w:r>
      <w:r w:rsidR="00E46B51">
        <w:rPr>
          <w:rFonts w:hint="cs"/>
          <w:rtl/>
        </w:rPr>
        <w:t xml:space="preserve">ההתנגדויות של גורמי חוץ </w:t>
      </w:r>
      <w:r w:rsidR="00E72757">
        <w:rPr>
          <w:rFonts w:hint="cs"/>
          <w:rtl/>
        </w:rPr>
        <w:t>להליך התכנוני עצמו, מצריך גמישות ובחינה של ההחלטות שכבר התקבלו מעת לעת. זאת, תוך הגשמת התכלית הציבורית שעומדת בבסיס ההליך התכנוני, לרבות הוצאתו אל הפועל ביעילות ובמהירות הנדרשת.</w:t>
      </w:r>
    </w:p>
    <w:p w:rsidR="00080D21" w:rsidRDefault="00080D21" w:rsidP="003E1437">
      <w:pPr>
        <w:spacing w:line="360" w:lineRule="auto"/>
        <w:jc w:val="both"/>
        <w:rPr>
          <w:rtl/>
        </w:rPr>
      </w:pPr>
    </w:p>
    <w:p w:rsidR="001F542A" w:rsidRDefault="00D67F48" w:rsidP="006644D0">
      <w:pPr>
        <w:spacing w:line="360" w:lineRule="auto"/>
        <w:ind w:hanging="624"/>
        <w:jc w:val="both"/>
        <w:rPr>
          <w:rtl/>
        </w:rPr>
      </w:pPr>
      <w:r>
        <w:rPr>
          <w:rFonts w:hint="cs"/>
          <w:rtl/>
        </w:rPr>
        <w:t>23</w:t>
      </w:r>
      <w:r w:rsidR="00BC4B54">
        <w:rPr>
          <w:rFonts w:hint="cs"/>
          <w:rtl/>
        </w:rPr>
        <w:t>.</w:t>
      </w:r>
      <w:r w:rsidR="00BC4B54">
        <w:rPr>
          <w:rFonts w:hint="cs"/>
          <w:rtl/>
        </w:rPr>
        <w:tab/>
        <w:t>העותרת טענה כי ההחלטה לצמצם את שטח חנות הנוחות ל-30 מ"ר, מלמדת על כך שגם משיבה 1 סברה שתמ"א 42 חלה בעניין. סבורני שיש לדחות טענה זו. כאמור, תמ"א 42 טרם נכנסה לתוקפה בהעדר אישור ממשלה. החלטת משיבה 1 לצמצם את שטח חנות הנוחות ל-30 מ"ר בעקבות טיעוני העותרת בשלב ההתנגדות לא מלמדת על כך שמשיבה 1 סברה שתמ"</w:t>
      </w:r>
      <w:r w:rsidR="001F542A">
        <w:rPr>
          <w:rFonts w:hint="cs"/>
          <w:rtl/>
        </w:rPr>
        <w:t>א 42 חלה על התכנית</w:t>
      </w:r>
      <w:r w:rsidR="00BC4B54">
        <w:rPr>
          <w:rFonts w:hint="cs"/>
          <w:rtl/>
        </w:rPr>
        <w:t xml:space="preserve">, אלא מלמדת על כך שמשיבה 1 הייתה קשובה לטענות העותרת ולסטנדרטים עתידיים בהקשרים דומים כאמור בתמ"א 42, ולמעשה, אך מלמדת על כך שהחלטת משיבה 1 בהתנגדות הייתה מידתית בכל הקשור להיקפי המסחר במתחם </w:t>
      </w:r>
      <w:r w:rsidR="009F644C">
        <w:rPr>
          <w:rFonts w:hint="cs"/>
          <w:rtl/>
        </w:rPr>
        <w:t>וכפועל יוצא לפגיעה האפשרית בעותרת.</w:t>
      </w:r>
      <w:r w:rsidR="001F542A">
        <w:rPr>
          <w:rFonts w:hint="cs"/>
          <w:rtl/>
        </w:rPr>
        <w:t xml:space="preserve"> טענת העותרת שהמבנה כולו צריך להיות בגודל של 30 מ"ר ולא רק שטח חנות הנוחות שבמבנה</w:t>
      </w:r>
      <w:r w:rsidR="009F644C">
        <w:rPr>
          <w:rFonts w:hint="cs"/>
          <w:rtl/>
        </w:rPr>
        <w:t xml:space="preserve"> </w:t>
      </w:r>
      <w:r w:rsidR="001F542A">
        <w:rPr>
          <w:rFonts w:hint="cs"/>
          <w:rtl/>
        </w:rPr>
        <w:t>שיוקם בתא שטח 200 נותרה אף היא בלתי מבוססת.</w:t>
      </w:r>
    </w:p>
    <w:p w:rsidR="005F2CF5" w:rsidRDefault="005F2CF5" w:rsidP="00BC4B54">
      <w:pPr>
        <w:spacing w:line="360" w:lineRule="auto"/>
        <w:ind w:hanging="340"/>
        <w:jc w:val="both"/>
        <w:rPr>
          <w:rtl/>
        </w:rPr>
      </w:pPr>
    </w:p>
    <w:p w:rsidR="001A360B" w:rsidRDefault="00D67F48" w:rsidP="006644D0">
      <w:pPr>
        <w:spacing w:line="360" w:lineRule="auto"/>
        <w:ind w:hanging="624"/>
        <w:jc w:val="both"/>
        <w:rPr>
          <w:rtl/>
        </w:rPr>
      </w:pPr>
      <w:r>
        <w:rPr>
          <w:rFonts w:hint="cs"/>
          <w:rtl/>
        </w:rPr>
        <w:t>24</w:t>
      </w:r>
      <w:r w:rsidR="005F2CF5">
        <w:rPr>
          <w:rFonts w:hint="cs"/>
          <w:rtl/>
        </w:rPr>
        <w:t>.</w:t>
      </w:r>
      <w:r w:rsidR="005F2CF5">
        <w:rPr>
          <w:rtl/>
        </w:rPr>
        <w:tab/>
      </w:r>
      <w:r w:rsidR="005F2CF5">
        <w:rPr>
          <w:rFonts w:hint="cs"/>
          <w:rtl/>
        </w:rPr>
        <w:t>העותרת טענה כי לנוכח השימושים שאושרו בתא שטח 200 יש להשיב לה חלק מתא השטח שהופקע ממנה בעבר</w:t>
      </w:r>
      <w:r w:rsidR="00C320AA">
        <w:rPr>
          <w:rFonts w:hint="cs"/>
          <w:rtl/>
        </w:rPr>
        <w:t>, שכן שימושים אלה הם לא לצרכי הציבור</w:t>
      </w:r>
      <w:r w:rsidR="005F2CF5">
        <w:rPr>
          <w:rFonts w:hint="cs"/>
          <w:rtl/>
        </w:rPr>
        <w:t>.</w:t>
      </w:r>
    </w:p>
    <w:p w:rsidR="00C320AA" w:rsidRDefault="00C320AA" w:rsidP="005F2CF5">
      <w:pPr>
        <w:spacing w:line="360" w:lineRule="auto"/>
        <w:ind w:hanging="340"/>
        <w:jc w:val="both"/>
        <w:rPr>
          <w:rtl/>
        </w:rPr>
      </w:pPr>
      <w:r>
        <w:rPr>
          <w:rtl/>
        </w:rPr>
        <w:tab/>
      </w:r>
      <w:r>
        <w:rPr>
          <w:rFonts w:hint="cs"/>
          <w:rtl/>
        </w:rPr>
        <w:t>סבורני שיש לדחות גם את טענה זו.</w:t>
      </w:r>
    </w:p>
    <w:p w:rsidR="00C320AA" w:rsidRDefault="00C320AA" w:rsidP="005F2CF5">
      <w:pPr>
        <w:spacing w:line="360" w:lineRule="auto"/>
        <w:ind w:hanging="340"/>
        <w:jc w:val="both"/>
        <w:rPr>
          <w:rtl/>
        </w:rPr>
      </w:pPr>
      <w:r>
        <w:rPr>
          <w:rtl/>
        </w:rPr>
        <w:tab/>
      </w:r>
      <w:r>
        <w:rPr>
          <w:rFonts w:hint="cs"/>
          <w:rtl/>
        </w:rPr>
        <w:t xml:space="preserve">סעיף 188(א) לחוק מתיר להפקיע מקרקעין שנועדו בתכנית לצרכי ציבור. </w:t>
      </w:r>
    </w:p>
    <w:p w:rsidR="00C320AA" w:rsidRDefault="006644D0" w:rsidP="006644D0">
      <w:pPr>
        <w:spacing w:line="360" w:lineRule="auto"/>
        <w:ind w:hanging="624"/>
        <w:jc w:val="both"/>
        <w:rPr>
          <w:b/>
          <w:bCs/>
          <w:rtl/>
        </w:rPr>
      </w:pPr>
      <w:r>
        <w:rPr>
          <w:rtl/>
        </w:rPr>
        <w:tab/>
      </w:r>
      <w:r w:rsidR="00C320AA">
        <w:rPr>
          <w:rFonts w:hint="cs"/>
          <w:rtl/>
        </w:rPr>
        <w:t>סעיף 188(ב)</w:t>
      </w:r>
      <w:r w:rsidR="00B42FB8">
        <w:rPr>
          <w:rFonts w:hint="cs"/>
          <w:rtl/>
        </w:rPr>
        <w:t xml:space="preserve">(1)(2) </w:t>
      </w:r>
      <w:r w:rsidR="00C320AA">
        <w:rPr>
          <w:rFonts w:hint="cs"/>
          <w:rtl/>
        </w:rPr>
        <w:t>לחוק מגדיר "</w:t>
      </w:r>
      <w:r w:rsidR="00C320AA" w:rsidRPr="00C320AA">
        <w:rPr>
          <w:rFonts w:hint="cs"/>
          <w:b/>
          <w:bCs/>
          <w:rtl/>
        </w:rPr>
        <w:t>צרכי ציבור</w:t>
      </w:r>
      <w:r w:rsidR="00C320AA">
        <w:rPr>
          <w:rFonts w:hint="cs"/>
          <w:rtl/>
        </w:rPr>
        <w:t xml:space="preserve">" </w:t>
      </w:r>
      <w:r w:rsidR="00B42FB8">
        <w:rPr>
          <w:rFonts w:hint="cs"/>
          <w:rtl/>
        </w:rPr>
        <w:t>כאחד מאלה: "</w:t>
      </w:r>
      <w:r w:rsidR="00B42FB8">
        <w:rPr>
          <w:rFonts w:hint="cs"/>
          <w:b/>
          <w:bCs/>
          <w:rtl/>
        </w:rPr>
        <w:t>דרכים...שטחי חניה...תחנות אוטובוסים...</w:t>
      </w:r>
      <w:r w:rsidR="00E731CF">
        <w:rPr>
          <w:rFonts w:hint="cs"/>
          <w:b/>
          <w:bCs/>
          <w:rtl/>
        </w:rPr>
        <w:t>מתקני השנאה לחשמל, וב</w:t>
      </w:r>
      <w:r w:rsidR="00FD57FF">
        <w:rPr>
          <w:rFonts w:hint="cs"/>
          <w:b/>
          <w:bCs/>
          <w:rtl/>
        </w:rPr>
        <w:t>כ</w:t>
      </w:r>
      <w:r w:rsidR="00E731CF">
        <w:rPr>
          <w:rFonts w:hint="cs"/>
          <w:b/>
          <w:bCs/>
          <w:rtl/>
        </w:rPr>
        <w:t>לל זה חדרי שנאים ותחנות משנה...</w:t>
      </w:r>
      <w:r w:rsidR="00B42FB8">
        <w:rPr>
          <w:rFonts w:hint="cs"/>
          <w:b/>
          <w:bCs/>
          <w:rtl/>
        </w:rPr>
        <w:t>וכל מטרה ציבורית אחרת שאישר שר הפנים לענין פסקה זו...</w:t>
      </w:r>
    </w:p>
    <w:p w:rsidR="00B42FB8" w:rsidRDefault="00B42FB8" w:rsidP="00C320AA">
      <w:pPr>
        <w:spacing w:line="360" w:lineRule="auto"/>
        <w:jc w:val="both"/>
        <w:rPr>
          <w:b/>
          <w:bCs/>
          <w:rtl/>
        </w:rPr>
      </w:pPr>
      <w:r>
        <w:rPr>
          <w:rFonts w:hint="cs"/>
          <w:b/>
          <w:bCs/>
          <w:rtl/>
        </w:rPr>
        <w:t>תחנות לתחבורה ציבורית...וכל צורך ציבורי אחר שאישר שר הפנים..."</w:t>
      </w:r>
      <w:r w:rsidR="00E731CF" w:rsidRPr="00E731CF">
        <w:rPr>
          <w:rFonts w:hint="cs"/>
          <w:rtl/>
        </w:rPr>
        <w:t>.</w:t>
      </w:r>
    </w:p>
    <w:p w:rsidR="00EA4C93" w:rsidRDefault="006644D0" w:rsidP="006644D0">
      <w:pPr>
        <w:spacing w:line="360" w:lineRule="auto"/>
        <w:ind w:hanging="624"/>
        <w:jc w:val="both"/>
        <w:rPr>
          <w:rtl/>
        </w:rPr>
      </w:pPr>
      <w:r>
        <w:rPr>
          <w:rtl/>
        </w:rPr>
        <w:tab/>
      </w:r>
      <w:r w:rsidR="00E731CF">
        <w:rPr>
          <w:rFonts w:hint="cs"/>
          <w:rtl/>
        </w:rPr>
        <w:t xml:space="preserve">סבורני שבמישור המהותי השימושים שהותרו בתא שטח 200 נכנסים תחת הגדרת "צרכי ציבור" כאמור, זאת בין אם המקום הוגדר </w:t>
      </w:r>
      <w:r w:rsidR="00BC08F6">
        <w:rPr>
          <w:rFonts w:hint="cs"/>
          <w:rtl/>
        </w:rPr>
        <w:t xml:space="preserve">כמרכז תחבורה ובין אם הוגדר </w:t>
      </w:r>
      <w:r w:rsidR="00E731CF">
        <w:rPr>
          <w:rFonts w:hint="cs"/>
          <w:rtl/>
        </w:rPr>
        <w:t>כ</w:t>
      </w:r>
      <w:r w:rsidR="00624F11">
        <w:rPr>
          <w:rFonts w:hint="cs"/>
          <w:rtl/>
        </w:rPr>
        <w:t>מרכז או כ</w:t>
      </w:r>
      <w:r w:rsidR="00E731CF">
        <w:rPr>
          <w:rFonts w:hint="cs"/>
          <w:rtl/>
        </w:rPr>
        <w:t xml:space="preserve">תחנה לתחבורה </w:t>
      </w:r>
      <w:r w:rsidR="00E731CF">
        <w:rPr>
          <w:rFonts w:hint="cs"/>
          <w:rtl/>
        </w:rPr>
        <w:lastRenderedPageBreak/>
        <w:t>ציבורית. הייעוד העיקר</w:t>
      </w:r>
      <w:r w:rsidR="00BC08F6">
        <w:rPr>
          <w:rFonts w:hint="cs"/>
          <w:rtl/>
        </w:rPr>
        <w:t>י</w:t>
      </w:r>
      <w:r w:rsidR="00E731CF">
        <w:rPr>
          <w:rFonts w:hint="cs"/>
          <w:rtl/>
        </w:rPr>
        <w:t xml:space="preserve"> של תא השטח </w:t>
      </w:r>
      <w:r w:rsidR="00BC08F6">
        <w:rPr>
          <w:rFonts w:hint="cs"/>
          <w:rtl/>
        </w:rPr>
        <w:t>האמור נועד לתת פתרון לצרכי הציבור הקשורים בתחבורה</w:t>
      </w:r>
      <w:r w:rsidR="00EA4C93">
        <w:rPr>
          <w:rFonts w:hint="cs"/>
          <w:rtl/>
        </w:rPr>
        <w:t xml:space="preserve"> ציבורית, וזאת מעבר לייתרונות הגדולים הטמונים</w:t>
      </w:r>
      <w:r w:rsidR="00BC08F6">
        <w:rPr>
          <w:rFonts w:hint="cs"/>
          <w:rtl/>
        </w:rPr>
        <w:t xml:space="preserve"> בתכנית שנועדה כאמור להיטיב עם הציבור הנוסע והמתגורר באזור.</w:t>
      </w:r>
      <w:r w:rsidR="00E731CF">
        <w:rPr>
          <w:rFonts w:hint="cs"/>
          <w:rtl/>
        </w:rPr>
        <w:t xml:space="preserve"> </w:t>
      </w:r>
    </w:p>
    <w:p w:rsidR="00E731CF" w:rsidRDefault="006644D0" w:rsidP="006644D0">
      <w:pPr>
        <w:spacing w:line="360" w:lineRule="auto"/>
        <w:ind w:hanging="624"/>
        <w:jc w:val="both"/>
        <w:rPr>
          <w:rtl/>
        </w:rPr>
      </w:pPr>
      <w:r>
        <w:rPr>
          <w:rtl/>
        </w:rPr>
        <w:tab/>
      </w:r>
      <w:r w:rsidR="00BC08F6">
        <w:rPr>
          <w:rFonts w:hint="cs"/>
          <w:rtl/>
        </w:rPr>
        <w:t>השימוש המסחרי ש</w:t>
      </w:r>
      <w:r w:rsidR="00EA4C93">
        <w:rPr>
          <w:rFonts w:hint="cs"/>
          <w:rtl/>
        </w:rPr>
        <w:t>ל חנות נוחות קטנה</w:t>
      </w:r>
      <w:r w:rsidR="00BC08F6">
        <w:rPr>
          <w:rFonts w:hint="cs"/>
          <w:rtl/>
        </w:rPr>
        <w:t xml:space="preserve"> </w:t>
      </w:r>
      <w:r w:rsidR="00EA4C93">
        <w:rPr>
          <w:rFonts w:hint="cs"/>
          <w:rtl/>
        </w:rPr>
        <w:t xml:space="preserve">או של עמדות טעינה חשמלית </w:t>
      </w:r>
      <w:r w:rsidR="00BC08F6">
        <w:rPr>
          <w:rFonts w:hint="cs"/>
          <w:rtl/>
        </w:rPr>
        <w:t>הוא אך נלווה</w:t>
      </w:r>
      <w:r w:rsidR="00EA4C93">
        <w:rPr>
          <w:rFonts w:hint="cs"/>
          <w:rtl/>
        </w:rPr>
        <w:t xml:space="preserve"> במקרה</w:t>
      </w:r>
      <w:r w:rsidR="00BC08F6">
        <w:rPr>
          <w:rFonts w:hint="cs"/>
          <w:rtl/>
        </w:rPr>
        <w:t xml:space="preserve"> </w:t>
      </w:r>
      <w:r w:rsidR="00EA4C93">
        <w:rPr>
          <w:rFonts w:hint="cs"/>
          <w:rtl/>
        </w:rPr>
        <w:t xml:space="preserve">זה </w:t>
      </w:r>
      <w:r w:rsidR="00BC08F6">
        <w:rPr>
          <w:rFonts w:hint="cs"/>
          <w:rtl/>
        </w:rPr>
        <w:t xml:space="preserve">לשימוש </w:t>
      </w:r>
      <w:r w:rsidR="00EA4C93">
        <w:rPr>
          <w:rFonts w:hint="cs"/>
          <w:rtl/>
        </w:rPr>
        <w:t xml:space="preserve">המרכזי בתכנית שאושרה </w:t>
      </w:r>
      <w:r w:rsidR="00BC08F6">
        <w:rPr>
          <w:rFonts w:hint="cs"/>
          <w:rtl/>
        </w:rPr>
        <w:t>הקשור להיבטי התח</w:t>
      </w:r>
      <w:r w:rsidR="00EA4C93">
        <w:rPr>
          <w:rFonts w:hint="cs"/>
          <w:rtl/>
        </w:rPr>
        <w:t>בורה הציבורית ואין הוא צובע אותו בצבעים שמאיינים את תכלית ההפקעה.</w:t>
      </w:r>
    </w:p>
    <w:p w:rsidR="00FD57FF" w:rsidRDefault="00FD57FF" w:rsidP="00BC08F6">
      <w:pPr>
        <w:spacing w:line="360" w:lineRule="auto"/>
        <w:jc w:val="both"/>
        <w:rPr>
          <w:rtl/>
        </w:rPr>
      </w:pPr>
      <w:r>
        <w:rPr>
          <w:rFonts w:hint="cs"/>
          <w:rtl/>
        </w:rPr>
        <w:t xml:space="preserve">בעניין זה ראו בג"ץ 3198/05 </w:t>
      </w:r>
      <w:r w:rsidRPr="00FD57FF">
        <w:rPr>
          <w:rFonts w:hint="cs"/>
          <w:b/>
          <w:bCs/>
          <w:rtl/>
        </w:rPr>
        <w:t>למלה נ' עיריית תל אביב</w:t>
      </w:r>
      <w:r>
        <w:rPr>
          <w:rFonts w:hint="cs"/>
          <w:rtl/>
        </w:rPr>
        <w:t xml:space="preserve"> (פורסם בנבו, 13.06.2011), פסקה 33:</w:t>
      </w:r>
    </w:p>
    <w:p w:rsidR="002A7F7B" w:rsidRDefault="00FD57FF" w:rsidP="002A7F7B">
      <w:pPr>
        <w:pStyle w:val="Ruller40"/>
        <w:ind w:left="794" w:right="1134"/>
        <w:rPr>
          <w:rFonts w:ascii="David" w:hAnsi="David" w:cs="David"/>
          <w:b/>
          <w:bCs/>
          <w:sz w:val="24"/>
          <w:szCs w:val="24"/>
          <w:rtl/>
        </w:rPr>
      </w:pPr>
      <w:r w:rsidRPr="002A7F7B">
        <w:rPr>
          <w:rFonts w:ascii="David" w:hAnsi="David" w:cs="David"/>
          <w:sz w:val="24"/>
          <w:szCs w:val="24"/>
          <w:rtl/>
        </w:rPr>
        <w:t>"</w:t>
      </w:r>
      <w:r w:rsidRPr="00FD57FF">
        <w:rPr>
          <w:rFonts w:ascii="David" w:hAnsi="David" w:cs="David"/>
          <w:b/>
          <w:bCs/>
          <w:sz w:val="24"/>
          <w:szCs w:val="24"/>
          <w:rtl/>
        </w:rPr>
        <w:t>מעבר לנדרש אציין, כי גם לגוף טענותיו של העותר אין לקבל את הטענה כי השימושים הנעשים במרכז המסחרי סותרים את מטרת ההפקעה. כבר בעבר נקבע, כי שאלת ההגשמה של מטרת ההפקעה נבחנת על בסיס מכלול השימושים הנעשים בקרקע המופקעת. כדי לעמוד במטרת ההפקעה, אין הכרח כי הקרקע תשמש במלואה למטרה הציבורית. גם שימוש מעורב, המשלב ביעוד הציבורי גם מטרה של הפקת רווח, או אלמנטים מסחריים מסוימים, אינו פוגם בהכרח ביעוד הציבורי. אלא שלצורך כך נדרש כי עשיית הרווח או היסוד המסחרי יהיו טפלים ונילווים למטרה הציבורית שלשמה נועדה ההפקעה, ובטלים אל מול העיקר, שהוא מימוש המטרה הציבורית</w:t>
      </w:r>
      <w:r w:rsidR="002A7F7B">
        <w:rPr>
          <w:rFonts w:ascii="David" w:hAnsi="David" w:cs="David" w:hint="cs"/>
          <w:b/>
          <w:bCs/>
          <w:sz w:val="24"/>
          <w:szCs w:val="24"/>
          <w:rtl/>
        </w:rPr>
        <w:t xml:space="preserve"> [...] </w:t>
      </w:r>
    </w:p>
    <w:p w:rsidR="002A7F7B" w:rsidRDefault="00FD57FF" w:rsidP="002A7F7B">
      <w:pPr>
        <w:pStyle w:val="Ruller40"/>
        <w:ind w:left="794" w:right="1134"/>
        <w:rPr>
          <w:rFonts w:ascii="David" w:hAnsi="David" w:cs="David"/>
          <w:b/>
          <w:bCs/>
          <w:sz w:val="24"/>
          <w:szCs w:val="24"/>
          <w:rtl/>
        </w:rPr>
      </w:pPr>
      <w:r w:rsidRPr="00FD57FF">
        <w:rPr>
          <w:rFonts w:ascii="David" w:hAnsi="David" w:cs="David"/>
          <w:b/>
          <w:bCs/>
          <w:sz w:val="24"/>
          <w:szCs w:val="24"/>
          <w:rtl/>
        </w:rPr>
        <w:t>כך למשל, נפסק כי במסגרת הפקעה לצורך ציבורי, גוף המעניק שירות לציבור עשוי להגשים צורך ציבורי גם אם הוא מופעל על ידי גורם פרטי הפועל לשם השאת רו</w:t>
      </w:r>
      <w:r w:rsidR="002A7F7B">
        <w:rPr>
          <w:rFonts w:ascii="David" w:hAnsi="David" w:cs="David"/>
          <w:b/>
          <w:bCs/>
          <w:sz w:val="24"/>
          <w:szCs w:val="24"/>
          <w:rtl/>
        </w:rPr>
        <w:t>וחיו</w:t>
      </w:r>
      <w:r w:rsidR="002A7F7B">
        <w:rPr>
          <w:rFonts w:ascii="David" w:hAnsi="David" w:cs="David" w:hint="cs"/>
          <w:b/>
          <w:bCs/>
          <w:sz w:val="24"/>
          <w:szCs w:val="24"/>
          <w:rtl/>
        </w:rPr>
        <w:t xml:space="preserve"> [...] </w:t>
      </w:r>
    </w:p>
    <w:p w:rsidR="00FD57FF" w:rsidRPr="00FD57FF" w:rsidRDefault="002A7F7B" w:rsidP="002A7F7B">
      <w:pPr>
        <w:pStyle w:val="Ruller40"/>
        <w:ind w:left="794" w:right="1134"/>
        <w:rPr>
          <w:rFonts w:ascii="David" w:hAnsi="David" w:cs="David"/>
          <w:b/>
          <w:bCs/>
          <w:sz w:val="24"/>
          <w:szCs w:val="24"/>
          <w:rtl/>
        </w:rPr>
      </w:pPr>
      <w:r>
        <w:rPr>
          <w:rFonts w:ascii="David" w:hAnsi="David" w:cs="David" w:hint="cs"/>
          <w:b/>
          <w:bCs/>
          <w:sz w:val="24"/>
          <w:szCs w:val="24"/>
          <w:rtl/>
        </w:rPr>
        <w:t>לכן אין מקום לראות את האלמנטים המסחריים במנותק מהפרויקט כולו, וכאילו עומדים בפני עצמם. יש לבחון את צדקת ההפקעה של אלמנטים אלה מן ההיבט הכולל של מטרת ההפקעה, ולא לבודד ולבוחנם בנפרד [...]</w:t>
      </w:r>
    </w:p>
    <w:p w:rsidR="00FD57FF" w:rsidRPr="002A7F7B" w:rsidRDefault="00FD57FF" w:rsidP="00092DEA">
      <w:pPr>
        <w:spacing w:line="360" w:lineRule="auto"/>
        <w:ind w:left="794" w:right="1134"/>
        <w:jc w:val="both"/>
        <w:rPr>
          <w:rFonts w:ascii="David" w:hAnsi="David"/>
          <w:rtl/>
        </w:rPr>
      </w:pPr>
      <w:r w:rsidRPr="00FD57FF">
        <w:rPr>
          <w:rFonts w:ascii="David" w:hAnsi="David"/>
          <w:b/>
          <w:bCs/>
          <w:spacing w:val="10"/>
          <w:rtl/>
        </w:rPr>
        <w:t>המשפט מתייחס, אפוא, למטרת ההפקעה בפרשנות רחבה, המשקיפה על היעוד הציבורי במבט רחב מתוך הבנה כי צורכי החיים והציבור משולבים לעיתים קרובות ביסודות של עשיית רווח ושיקולים מסחריים. אלא שכדי להגשים את היעוד הציבורי שלמענו הופקעה הקרקע, נדרש כי המאפיינים הלא-ציבוריים יהיו טפלים</w:t>
      </w:r>
      <w:r w:rsidR="002A7F7B">
        <w:rPr>
          <w:rFonts w:ascii="David" w:hAnsi="David"/>
          <w:b/>
          <w:bCs/>
          <w:spacing w:val="10"/>
          <w:rtl/>
        </w:rPr>
        <w:t xml:space="preserve"> ושוליים למטרה הציבורית העיקרית</w:t>
      </w:r>
      <w:r w:rsidR="002A7F7B">
        <w:rPr>
          <w:rFonts w:ascii="David" w:hAnsi="David" w:hint="cs"/>
          <w:spacing w:val="10"/>
          <w:rtl/>
        </w:rPr>
        <w:t>".</w:t>
      </w:r>
    </w:p>
    <w:p w:rsidR="005F2CF5" w:rsidRPr="00FD57FF" w:rsidRDefault="005F2CF5" w:rsidP="00FD57FF">
      <w:pPr>
        <w:spacing w:line="360" w:lineRule="auto"/>
        <w:ind w:right="1134" w:firstLine="794"/>
        <w:jc w:val="both"/>
        <w:rPr>
          <w:rFonts w:ascii="David" w:hAnsi="David"/>
          <w:b/>
          <w:bCs/>
          <w:rtl/>
        </w:rPr>
      </w:pPr>
    </w:p>
    <w:p w:rsidR="001F585E" w:rsidRDefault="00D67F48" w:rsidP="006644D0">
      <w:pPr>
        <w:spacing w:line="360" w:lineRule="auto"/>
        <w:ind w:hanging="624"/>
        <w:jc w:val="both"/>
        <w:rPr>
          <w:rtl/>
        </w:rPr>
      </w:pPr>
      <w:r>
        <w:rPr>
          <w:rFonts w:hint="cs"/>
          <w:rtl/>
        </w:rPr>
        <w:t>25</w:t>
      </w:r>
      <w:r w:rsidR="00092DEA">
        <w:rPr>
          <w:rFonts w:hint="cs"/>
          <w:rtl/>
        </w:rPr>
        <w:t>.</w:t>
      </w:r>
      <w:r w:rsidR="00092DEA">
        <w:rPr>
          <w:rFonts w:hint="cs"/>
          <w:rtl/>
        </w:rPr>
        <w:tab/>
        <w:t>כפועל יוצא, יש לדחות גם את טענות העותרת הקשורות ב</w:t>
      </w:r>
      <w:r w:rsidR="005F2CF5">
        <w:rPr>
          <w:rFonts w:hint="cs"/>
          <w:rtl/>
        </w:rPr>
        <w:t>תחרות בלתי הוגנת</w:t>
      </w:r>
      <w:r w:rsidR="00092DEA">
        <w:rPr>
          <w:rFonts w:hint="cs"/>
          <w:rtl/>
        </w:rPr>
        <w:t>. מקובלת על</w:t>
      </w:r>
      <w:r w:rsidR="00C55DAC">
        <w:rPr>
          <w:rFonts w:hint="cs"/>
          <w:rtl/>
        </w:rPr>
        <w:t xml:space="preserve">י טענת העותרת כי </w:t>
      </w:r>
      <w:r w:rsidR="00092DEA">
        <w:rPr>
          <w:rFonts w:hint="cs"/>
          <w:rtl/>
        </w:rPr>
        <w:t>על רשויות התכנון לתת דעתם גם להיבטים מסוימים של שיקולים כלכליים ומסחריים. כך וודאי באשר לעלויות פרוייקטים ציבוריים, היינו לשימוש שנעשה בכספי ציבור אך כך, במקרים מסוימים</w:t>
      </w:r>
      <w:r w:rsidR="00C55DAC">
        <w:rPr>
          <w:rFonts w:hint="cs"/>
          <w:rtl/>
        </w:rPr>
        <w:t>,</w:t>
      </w:r>
      <w:r w:rsidR="00092DEA">
        <w:rPr>
          <w:rFonts w:hint="cs"/>
          <w:rtl/>
        </w:rPr>
        <w:t xml:space="preserve"> גם </w:t>
      </w:r>
      <w:r w:rsidR="00C55DAC">
        <w:rPr>
          <w:rFonts w:hint="cs"/>
          <w:rtl/>
        </w:rPr>
        <w:t xml:space="preserve">בהיבטים מסחריים מסוימים </w:t>
      </w:r>
      <w:r w:rsidR="00092DEA">
        <w:rPr>
          <w:rFonts w:hint="cs"/>
          <w:rtl/>
        </w:rPr>
        <w:t>כלפי "שכנים" וצדדים נוספים</w:t>
      </w:r>
      <w:r w:rsidR="00C26DBA">
        <w:rPr>
          <w:rFonts w:hint="cs"/>
          <w:rtl/>
        </w:rPr>
        <w:t xml:space="preserve">, דוגמת מתחרים </w:t>
      </w:r>
      <w:r w:rsidR="00C26DBA">
        <w:rPr>
          <w:rFonts w:hint="cs"/>
          <w:rtl/>
        </w:rPr>
        <w:lastRenderedPageBreak/>
        <w:t>עסקיים</w:t>
      </w:r>
      <w:r w:rsidR="00092DEA">
        <w:rPr>
          <w:rFonts w:hint="cs"/>
          <w:rtl/>
        </w:rPr>
        <w:t xml:space="preserve"> שעשויים </w:t>
      </w:r>
      <w:r w:rsidR="00B409BB">
        <w:rPr>
          <w:rFonts w:hint="cs"/>
          <w:rtl/>
        </w:rPr>
        <w:t>להינזק מ</w:t>
      </w:r>
      <w:r w:rsidR="00C55DAC">
        <w:rPr>
          <w:rFonts w:hint="cs"/>
          <w:rtl/>
        </w:rPr>
        <w:t xml:space="preserve">ביצוע התוכניות ומימושן, </w:t>
      </w:r>
      <w:r w:rsidR="00C26DBA">
        <w:rPr>
          <w:rFonts w:hint="cs"/>
          <w:rtl/>
        </w:rPr>
        <w:t>כמו במקרים של</w:t>
      </w:r>
      <w:r w:rsidR="00B409BB">
        <w:rPr>
          <w:rFonts w:hint="cs"/>
          <w:rtl/>
        </w:rPr>
        <w:t xml:space="preserve"> </w:t>
      </w:r>
      <w:r w:rsidR="00C26DBA">
        <w:rPr>
          <w:rFonts w:hint="cs"/>
          <w:rtl/>
        </w:rPr>
        <w:t>"</w:t>
      </w:r>
      <w:r w:rsidR="00B409BB">
        <w:rPr>
          <w:rFonts w:hint="cs"/>
          <w:rtl/>
        </w:rPr>
        <w:t>ריקושטים כלכליים</w:t>
      </w:r>
      <w:r w:rsidR="00C26DBA">
        <w:rPr>
          <w:rFonts w:hint="cs"/>
          <w:rtl/>
        </w:rPr>
        <w:t xml:space="preserve">" (ראו בעניינו של מתחרה עסקי למשל את עע"מ 8723/03 </w:t>
      </w:r>
      <w:r w:rsidR="00C26DBA" w:rsidRPr="00C26DBA">
        <w:rPr>
          <w:rFonts w:hint="cs"/>
          <w:b/>
          <w:bCs/>
          <w:rtl/>
        </w:rPr>
        <w:t>עיריית הרצליה נגד הועדה המקומית לתכנון ולבניה חוף השרון</w:t>
      </w:r>
      <w:r w:rsidR="00C26DBA">
        <w:rPr>
          <w:rFonts w:hint="cs"/>
          <w:rtl/>
        </w:rPr>
        <w:t xml:space="preserve"> [פורסם בנבו, 4.08.2004])</w:t>
      </w:r>
      <w:r w:rsidR="00B409BB">
        <w:rPr>
          <w:rFonts w:hint="cs"/>
          <w:rtl/>
        </w:rPr>
        <w:t xml:space="preserve">. </w:t>
      </w:r>
    </w:p>
    <w:p w:rsidR="005F2CF5" w:rsidRDefault="00B409BB" w:rsidP="001F585E">
      <w:pPr>
        <w:spacing w:line="360" w:lineRule="auto"/>
        <w:jc w:val="both"/>
        <w:rPr>
          <w:rtl/>
        </w:rPr>
      </w:pPr>
      <w:r>
        <w:rPr>
          <w:rFonts w:hint="cs"/>
          <w:rtl/>
        </w:rPr>
        <w:t xml:space="preserve">עם זאת, שיקול העל של הרשות היה ונותר להגשים תכליות ציבוריות וככלל שיקולים מסחריים, ודאי של גורמים פרטיים, לא יהיו אלו שינחו ויובילו את הרשויות ובכללן רשויות התכנון בהחלטותיהן. בהתאם לכך, העותרת לא הרימה </w:t>
      </w:r>
      <w:r w:rsidR="00C26DBA">
        <w:rPr>
          <w:rFonts w:hint="cs"/>
          <w:rtl/>
        </w:rPr>
        <w:t>בענייננו הנטל להצדיק את ביטול או שינוי</w:t>
      </w:r>
      <w:r>
        <w:rPr>
          <w:rFonts w:hint="cs"/>
          <w:rtl/>
        </w:rPr>
        <w:t xml:space="preserve"> התכנית שאושרה והתקבלה</w:t>
      </w:r>
      <w:r w:rsidR="00035784">
        <w:rPr>
          <w:rFonts w:hint="cs"/>
          <w:rtl/>
        </w:rPr>
        <w:t>, תכנית שכאמור כל כולה מיטיבה</w:t>
      </w:r>
      <w:r w:rsidR="00C55DAC">
        <w:rPr>
          <w:rFonts w:hint="cs"/>
          <w:rtl/>
        </w:rPr>
        <w:t xml:space="preserve"> עם הציבור</w:t>
      </w:r>
      <w:r w:rsidR="00035784">
        <w:rPr>
          <w:rFonts w:hint="cs"/>
          <w:rtl/>
        </w:rPr>
        <w:t xml:space="preserve"> הרחב, מטעמים של תחרות לא הוגנת שלטענתה נוצרה לה</w:t>
      </w:r>
      <w:r w:rsidR="0030411E">
        <w:rPr>
          <w:rFonts w:hint="cs"/>
          <w:rtl/>
        </w:rPr>
        <w:t>.</w:t>
      </w:r>
      <w:r>
        <w:rPr>
          <w:rFonts w:hint="cs"/>
          <w:rtl/>
        </w:rPr>
        <w:t xml:space="preserve"> </w:t>
      </w:r>
    </w:p>
    <w:p w:rsidR="001F585E" w:rsidRDefault="001F585E" w:rsidP="006644D0">
      <w:pPr>
        <w:spacing w:line="360" w:lineRule="auto"/>
        <w:ind w:hanging="624"/>
        <w:jc w:val="both"/>
        <w:rPr>
          <w:rtl/>
        </w:rPr>
      </w:pPr>
    </w:p>
    <w:p w:rsidR="0030411E" w:rsidRDefault="006644D0" w:rsidP="006644D0">
      <w:pPr>
        <w:spacing w:line="360" w:lineRule="auto"/>
        <w:ind w:hanging="624"/>
        <w:jc w:val="both"/>
        <w:rPr>
          <w:rtl/>
        </w:rPr>
      </w:pPr>
      <w:r>
        <w:rPr>
          <w:rtl/>
        </w:rPr>
        <w:tab/>
      </w:r>
      <w:r w:rsidR="0030411E">
        <w:rPr>
          <w:rFonts w:hint="cs"/>
          <w:rtl/>
        </w:rPr>
        <w:t>עוד אציין, מבלי להביע כל עמדה כמובן, כי אם סבורה העותרת שמשיבה 3 או גורם אחר הסב לה נזק כלכלי כתוצאה מההפקעה בעבר ומאישור השימושים בתא שטח 200 בתכנית עתה, יכול ונכון לבחון עניין זה בהליכים משפטיים אחרים, אזרחיים, ולא במישור המנהלי.</w:t>
      </w:r>
    </w:p>
    <w:p w:rsidR="00C55DAC" w:rsidRDefault="00C55DAC" w:rsidP="0030411E">
      <w:pPr>
        <w:spacing w:line="360" w:lineRule="auto"/>
        <w:jc w:val="both"/>
        <w:rPr>
          <w:rtl/>
        </w:rPr>
      </w:pPr>
    </w:p>
    <w:p w:rsidR="001F585E" w:rsidRDefault="00D67F48" w:rsidP="006644D0">
      <w:pPr>
        <w:spacing w:line="360" w:lineRule="auto"/>
        <w:ind w:hanging="624"/>
        <w:jc w:val="both"/>
        <w:rPr>
          <w:rtl/>
        </w:rPr>
      </w:pPr>
      <w:r>
        <w:rPr>
          <w:rFonts w:hint="cs"/>
          <w:rtl/>
        </w:rPr>
        <w:t>26</w:t>
      </w:r>
      <w:r w:rsidR="0030411E">
        <w:rPr>
          <w:rFonts w:hint="cs"/>
          <w:rtl/>
        </w:rPr>
        <w:t>.</w:t>
      </w:r>
      <w:r w:rsidR="006644D0">
        <w:rPr>
          <w:rtl/>
        </w:rPr>
        <w:tab/>
      </w:r>
      <w:r w:rsidR="0030411E">
        <w:rPr>
          <w:rFonts w:hint="cs"/>
          <w:rtl/>
        </w:rPr>
        <w:t xml:space="preserve"> סבורני שיש לדחות טענות העותרת גם ביחס להחלטת משיב 2. </w:t>
      </w:r>
      <w:r w:rsidR="00C55DAC">
        <w:rPr>
          <w:rFonts w:hint="cs"/>
          <w:rtl/>
        </w:rPr>
        <w:t xml:space="preserve">החלטת משיב 2 לדחות את בקשת רשות הערר של העותרת נראית לי סבירה ונכונה. לא התרשמתי שטענות העותרת שעלו בשלב ההתנגדוית הן </w:t>
      </w:r>
      <w:r w:rsidR="00874B12">
        <w:rPr>
          <w:rFonts w:hint="cs"/>
          <w:rtl/>
        </w:rPr>
        <w:t xml:space="preserve">בעלות השלכה עקרונית וציבורית רחבה. </w:t>
      </w:r>
    </w:p>
    <w:p w:rsidR="001F585E" w:rsidRDefault="001F585E" w:rsidP="006644D0">
      <w:pPr>
        <w:spacing w:line="360" w:lineRule="auto"/>
        <w:ind w:hanging="624"/>
        <w:jc w:val="both"/>
        <w:rPr>
          <w:rtl/>
        </w:rPr>
      </w:pPr>
    </w:p>
    <w:p w:rsidR="001F585E" w:rsidRDefault="00874B12" w:rsidP="001F585E">
      <w:pPr>
        <w:spacing w:line="360" w:lineRule="auto"/>
        <w:jc w:val="both"/>
        <w:rPr>
          <w:rtl/>
        </w:rPr>
      </w:pPr>
      <w:r>
        <w:rPr>
          <w:rFonts w:hint="cs"/>
          <w:rtl/>
        </w:rPr>
        <w:t xml:space="preserve">אף אם ב"כ העותרת ניסה לשוות לטענותיו אופי עקרוני, בחינת טענותיו מלמדת כי אלו מתייחסות לנסיבות קונקרטיות הקשורות בזיקתה ובקרבתה של העותרת לתא שטח קונקרטי אליו התייחסה תכנית קונקרטית. </w:t>
      </w:r>
    </w:p>
    <w:p w:rsidR="0030411E" w:rsidRDefault="00874B12" w:rsidP="001F585E">
      <w:pPr>
        <w:spacing w:line="360" w:lineRule="auto"/>
        <w:jc w:val="both"/>
        <w:rPr>
          <w:rtl/>
        </w:rPr>
      </w:pPr>
      <w:r>
        <w:rPr>
          <w:rFonts w:hint="cs"/>
          <w:rtl/>
        </w:rPr>
        <w:t xml:space="preserve">לא השתכנעתי כי להחלטות שנתקבלו על-ידי משיבה 1 השלכות רוחב בקנה מידה ארצי או שהן מעוררות עניין </w:t>
      </w:r>
      <w:r w:rsidR="00ED2498">
        <w:rPr>
          <w:rFonts w:hint="cs"/>
          <w:rtl/>
        </w:rPr>
        <w:t xml:space="preserve">עקרוני מובהק </w:t>
      </w:r>
      <w:r w:rsidR="00B94BD4">
        <w:rPr>
          <w:rFonts w:hint="cs"/>
          <w:rtl/>
        </w:rPr>
        <w:t xml:space="preserve">או רגישות </w:t>
      </w:r>
      <w:r>
        <w:rPr>
          <w:rFonts w:hint="cs"/>
          <w:rtl/>
        </w:rPr>
        <w:t>ציבורי</w:t>
      </w:r>
      <w:r w:rsidR="00ED2498">
        <w:rPr>
          <w:rFonts w:hint="cs"/>
          <w:rtl/>
        </w:rPr>
        <w:t>ת כלשהי</w:t>
      </w:r>
      <w:r>
        <w:rPr>
          <w:rFonts w:hint="cs"/>
          <w:rtl/>
        </w:rPr>
        <w:t>.</w:t>
      </w:r>
    </w:p>
    <w:p w:rsidR="001F585E" w:rsidRDefault="001F585E" w:rsidP="001F585E">
      <w:pPr>
        <w:spacing w:line="360" w:lineRule="auto"/>
        <w:jc w:val="both"/>
        <w:rPr>
          <w:rtl/>
        </w:rPr>
      </w:pPr>
    </w:p>
    <w:p w:rsidR="00B94BD4" w:rsidRDefault="006644D0" w:rsidP="006644D0">
      <w:pPr>
        <w:spacing w:line="360" w:lineRule="auto"/>
        <w:ind w:hanging="624"/>
        <w:jc w:val="both"/>
        <w:rPr>
          <w:rtl/>
        </w:rPr>
      </w:pPr>
      <w:r>
        <w:rPr>
          <w:rtl/>
        </w:rPr>
        <w:tab/>
      </w:r>
      <w:r w:rsidR="00B94BD4">
        <w:rPr>
          <w:rFonts w:hint="cs"/>
          <w:rtl/>
        </w:rPr>
        <w:t>בעניין זה ראו</w:t>
      </w:r>
      <w:r w:rsidR="00ED2498">
        <w:rPr>
          <w:rFonts w:hint="cs"/>
          <w:rtl/>
        </w:rPr>
        <w:t xml:space="preserve"> למשל</w:t>
      </w:r>
      <w:r w:rsidR="00B94BD4">
        <w:rPr>
          <w:rFonts w:hint="cs"/>
          <w:rtl/>
        </w:rPr>
        <w:t xml:space="preserve"> עע"מ </w:t>
      </w:r>
      <w:r w:rsidR="00B94BD4" w:rsidRPr="00B94BD4">
        <w:rPr>
          <w:rFonts w:hint="cs"/>
          <w:b/>
          <w:bCs/>
          <w:rtl/>
        </w:rPr>
        <w:t xml:space="preserve">ועד שכונת עין כרם נ' הועדה המחוזית לתכנון ובניה </w:t>
      </w:r>
      <w:r w:rsidR="00B94BD4" w:rsidRPr="00B94BD4">
        <w:rPr>
          <w:b/>
          <w:bCs/>
          <w:rtl/>
        </w:rPr>
        <w:t>–</w:t>
      </w:r>
      <w:r w:rsidR="00B94BD4" w:rsidRPr="00B94BD4">
        <w:rPr>
          <w:rFonts w:hint="cs"/>
          <w:b/>
          <w:bCs/>
          <w:rtl/>
        </w:rPr>
        <w:t xml:space="preserve"> מחוז ירושלים</w:t>
      </w:r>
      <w:r w:rsidR="00B94BD4">
        <w:rPr>
          <w:rFonts w:hint="cs"/>
          <w:rtl/>
        </w:rPr>
        <w:t xml:space="preserve"> (פורסם בנבו, 13.3.2003), פסקה 10:</w:t>
      </w:r>
    </w:p>
    <w:p w:rsidR="00B94BD4" w:rsidRDefault="00B94BD4" w:rsidP="00B94BD4">
      <w:pPr>
        <w:spacing w:line="360" w:lineRule="auto"/>
        <w:ind w:left="794" w:right="1134"/>
        <w:jc w:val="both"/>
        <w:rPr>
          <w:rtl/>
        </w:rPr>
      </w:pPr>
      <w:r>
        <w:rPr>
          <w:rFonts w:hint="cs"/>
          <w:rtl/>
        </w:rPr>
        <w:t>"</w:t>
      </w:r>
      <w:r w:rsidRPr="00B94BD4">
        <w:rPr>
          <w:b/>
          <w:bCs/>
          <w:rtl/>
        </w:rPr>
        <w:t>בשלב זה הייתי מסתפק באמירה הכללית בלי למצות ובלי לפרט, שכדי שתינתן רשות ערעור למועצה הארצית, נדרש שהעניין יהיה חשוב עד כדי הצדקה לערב את המועצה אם בשל היותו בעל השלכה רחבה, אם בשל אופיו העקרוני, אם בשל היותו מלווה ברגישות ציבורית מיוחדת ואם בשל היותו נתון למחלוקת ציבורית קשה</w:t>
      </w:r>
      <w:r>
        <w:rPr>
          <w:rFonts w:hint="cs"/>
          <w:rtl/>
        </w:rPr>
        <w:t>"</w:t>
      </w:r>
      <w:r>
        <w:rPr>
          <w:rtl/>
        </w:rPr>
        <w:t>.</w:t>
      </w:r>
    </w:p>
    <w:p w:rsidR="001F585E" w:rsidRDefault="001F585E" w:rsidP="00B94BD4">
      <w:pPr>
        <w:spacing w:line="360" w:lineRule="auto"/>
        <w:ind w:left="794" w:right="1134"/>
        <w:jc w:val="both"/>
        <w:rPr>
          <w:rtl/>
        </w:rPr>
      </w:pPr>
    </w:p>
    <w:p w:rsidR="001F585E" w:rsidRDefault="001F585E" w:rsidP="00B94BD4">
      <w:pPr>
        <w:spacing w:line="360" w:lineRule="auto"/>
        <w:ind w:left="794" w:right="1134"/>
        <w:jc w:val="both"/>
        <w:rPr>
          <w:rtl/>
        </w:rPr>
      </w:pPr>
    </w:p>
    <w:p w:rsidR="001F585E" w:rsidRDefault="001F585E" w:rsidP="00B94BD4">
      <w:pPr>
        <w:spacing w:line="360" w:lineRule="auto"/>
        <w:ind w:left="794" w:right="1134"/>
        <w:jc w:val="both"/>
        <w:rPr>
          <w:rtl/>
        </w:rPr>
      </w:pPr>
    </w:p>
    <w:p w:rsidR="001F585E" w:rsidRDefault="001F585E" w:rsidP="00B94BD4">
      <w:pPr>
        <w:spacing w:line="360" w:lineRule="auto"/>
        <w:ind w:left="794" w:right="1134"/>
        <w:jc w:val="both"/>
        <w:rPr>
          <w:rtl/>
        </w:rPr>
      </w:pPr>
    </w:p>
    <w:p w:rsidR="001F585E" w:rsidRDefault="001F585E" w:rsidP="00B94BD4">
      <w:pPr>
        <w:spacing w:line="360" w:lineRule="auto"/>
        <w:ind w:left="794" w:right="1134"/>
        <w:jc w:val="both"/>
        <w:rPr>
          <w:rtl/>
        </w:rPr>
      </w:pPr>
    </w:p>
    <w:p w:rsidR="001F585E" w:rsidRDefault="001F585E" w:rsidP="00B94BD4">
      <w:pPr>
        <w:spacing w:line="360" w:lineRule="auto"/>
        <w:ind w:left="794" w:right="1134"/>
        <w:jc w:val="both"/>
        <w:rPr>
          <w:rtl/>
        </w:rPr>
      </w:pPr>
    </w:p>
    <w:p w:rsidR="00ED2498" w:rsidRDefault="00ED2498" w:rsidP="00B94BD4">
      <w:pPr>
        <w:spacing w:line="360" w:lineRule="auto"/>
        <w:ind w:left="794" w:right="1134"/>
        <w:jc w:val="both"/>
        <w:rPr>
          <w:rtl/>
        </w:rPr>
      </w:pPr>
    </w:p>
    <w:p w:rsidR="00ED2498" w:rsidRDefault="00D67F48" w:rsidP="006644D0">
      <w:pPr>
        <w:spacing w:line="360" w:lineRule="auto"/>
        <w:ind w:left="43" w:hanging="709"/>
        <w:jc w:val="both"/>
        <w:rPr>
          <w:rtl/>
        </w:rPr>
      </w:pPr>
      <w:r>
        <w:rPr>
          <w:rFonts w:hint="cs"/>
          <w:rtl/>
        </w:rPr>
        <w:t>27</w:t>
      </w:r>
      <w:r w:rsidR="00ED2498">
        <w:rPr>
          <w:rFonts w:hint="cs"/>
          <w:rtl/>
        </w:rPr>
        <w:t xml:space="preserve">. </w:t>
      </w:r>
      <w:r w:rsidR="001F585E">
        <w:rPr>
          <w:rtl/>
        </w:rPr>
        <w:tab/>
      </w:r>
      <w:r w:rsidR="00974A05">
        <w:rPr>
          <w:rFonts w:hint="cs"/>
          <w:rtl/>
        </w:rPr>
        <w:t xml:space="preserve">לסיכום, התכנית שאושרה התקבלה לאחר הליך מנהלי סדור ותקין; התכנית נבחנה ואושרה על-ידי הגורמים המוסמכים וטענות העותרת ביחס לתכנית נשמעו, נבחנו ונתקבלו בחלקן. ההחלטות שנתקבלו על-ידי המשיבים הן סבירות ומידתיות ולא מצאתי כל עילה מנהלית להתערב </w:t>
      </w:r>
      <w:r w:rsidR="005008F9">
        <w:rPr>
          <w:rFonts w:hint="cs"/>
          <w:rtl/>
        </w:rPr>
        <w:t>בהן</w:t>
      </w:r>
      <w:r w:rsidR="00974A05">
        <w:rPr>
          <w:rFonts w:hint="cs"/>
          <w:rtl/>
        </w:rPr>
        <w:t>.</w:t>
      </w:r>
    </w:p>
    <w:p w:rsidR="005008F9" w:rsidRDefault="005008F9" w:rsidP="00974A05">
      <w:pPr>
        <w:spacing w:line="360" w:lineRule="auto"/>
        <w:ind w:left="-57" w:hanging="283"/>
        <w:jc w:val="both"/>
        <w:rPr>
          <w:rtl/>
        </w:rPr>
      </w:pPr>
      <w:r>
        <w:rPr>
          <w:rtl/>
        </w:rPr>
        <w:tab/>
      </w:r>
      <w:r w:rsidR="00D67F48">
        <w:rPr>
          <w:rtl/>
        </w:rPr>
        <w:tab/>
      </w:r>
      <w:r w:rsidR="001F585E">
        <w:rPr>
          <w:rFonts w:hint="cs"/>
          <w:rtl/>
        </w:rPr>
        <w:t xml:space="preserve"> </w:t>
      </w:r>
      <w:r>
        <w:rPr>
          <w:rFonts w:hint="cs"/>
          <w:rtl/>
        </w:rPr>
        <w:t>לפיכך, אני דוחה את העתירה.</w:t>
      </w:r>
    </w:p>
    <w:p w:rsidR="001F585E" w:rsidRDefault="001F585E" w:rsidP="001F585E">
      <w:pPr>
        <w:spacing w:line="360" w:lineRule="auto"/>
        <w:ind w:left="-57" w:firstLine="100"/>
        <w:jc w:val="both"/>
        <w:rPr>
          <w:rtl/>
        </w:rPr>
      </w:pPr>
    </w:p>
    <w:p w:rsidR="005008F9" w:rsidRDefault="005008F9" w:rsidP="001F585E">
      <w:pPr>
        <w:spacing w:line="360" w:lineRule="auto"/>
        <w:ind w:left="-57" w:firstLine="100"/>
        <w:jc w:val="both"/>
        <w:rPr>
          <w:rtl/>
        </w:rPr>
      </w:pPr>
      <w:r>
        <w:rPr>
          <w:rFonts w:hint="cs"/>
          <w:rtl/>
        </w:rPr>
        <w:t xml:space="preserve">העותרת </w:t>
      </w:r>
      <w:r w:rsidR="00AD1691">
        <w:rPr>
          <w:rFonts w:hint="cs"/>
          <w:rtl/>
        </w:rPr>
        <w:t>תשא ב</w:t>
      </w:r>
      <w:r>
        <w:rPr>
          <w:rFonts w:hint="cs"/>
          <w:rtl/>
        </w:rPr>
        <w:t xml:space="preserve">הוצאות </w:t>
      </w:r>
      <w:r w:rsidR="00AD1691">
        <w:rPr>
          <w:rFonts w:hint="cs"/>
          <w:rtl/>
        </w:rPr>
        <w:t xml:space="preserve">משיבים 1 ו-2 </w:t>
      </w:r>
      <w:r>
        <w:rPr>
          <w:rFonts w:hint="cs"/>
          <w:rtl/>
        </w:rPr>
        <w:t xml:space="preserve">בסך של 20,000 ₪ </w:t>
      </w:r>
      <w:r w:rsidR="00AD1691">
        <w:rPr>
          <w:rFonts w:hint="cs"/>
          <w:rtl/>
        </w:rPr>
        <w:t xml:space="preserve">ובהוצאות משיבה 3 </w:t>
      </w:r>
      <w:r>
        <w:rPr>
          <w:rFonts w:hint="cs"/>
          <w:rtl/>
        </w:rPr>
        <w:t>בסך של 20,000 ₪.</w:t>
      </w:r>
    </w:p>
    <w:p w:rsidR="001D058C" w:rsidRDefault="001D058C" w:rsidP="001D058C">
      <w:pPr>
        <w:spacing w:line="360" w:lineRule="auto"/>
        <w:ind w:hanging="482"/>
        <w:jc w:val="both"/>
        <w:rPr>
          <w:rtl/>
        </w:rPr>
      </w:pPr>
    </w:p>
    <w:p w:rsidR="001D058C" w:rsidRPr="001D058C" w:rsidRDefault="001D058C" w:rsidP="002E4645">
      <w:pPr>
        <w:spacing w:line="360" w:lineRule="auto"/>
        <w:ind w:hanging="482"/>
        <w:jc w:val="both"/>
        <w:rPr>
          <w:rtl/>
        </w:rPr>
      </w:pPr>
      <w:r>
        <w:rPr>
          <w:rtl/>
        </w:rPr>
        <w:tab/>
      </w:r>
      <w:r w:rsidR="003E1437">
        <w:rPr>
          <w:rFonts w:hint="cs"/>
          <w:rtl/>
        </w:rPr>
        <w:t>העתק מפסק הדין יישלח לצדדים.</w:t>
      </w:r>
      <w:r w:rsidR="002E4645">
        <w:rPr>
          <w:rFonts w:hint="cs"/>
          <w:rtl/>
        </w:rPr>
        <w:t xml:space="preserve"> </w:t>
      </w:r>
    </w:p>
    <w:p w:rsidR="009035C1" w:rsidRDefault="009035C1" w:rsidP="001F585E">
      <w:pPr>
        <w:spacing w:line="360" w:lineRule="auto"/>
        <w:ind w:firstLine="43"/>
        <w:jc w:val="both"/>
        <w:rPr>
          <w:rtl/>
        </w:rPr>
      </w:pPr>
    </w:p>
    <w:p w:rsidR="000550EC" w:rsidRDefault="000550EC" w:rsidP="000550EC">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אוגוסט 2024</w:t>
          </w:r>
        </w:sdtContent>
      </w:sdt>
      <w:r>
        <w:rPr>
          <w:rFonts w:ascii="Arial" w:hAnsi="Arial"/>
          <w:noProof w:val="0"/>
          <w:rtl/>
        </w:rPr>
        <w:t>, בהעדר הצדדים.</w:t>
      </w:r>
    </w:p>
    <w:p w:rsidR="00C2309E" w:rsidRDefault="00C2309E" w:rsidP="000550EC">
      <w:pPr>
        <w:spacing w:line="360" w:lineRule="auto"/>
        <w:jc w:val="both"/>
        <w:rPr>
          <w:rFonts w:ascii="Arial" w:hAnsi="Arial"/>
          <w:noProof w:val="0"/>
        </w:rPr>
      </w:pPr>
    </w:p>
    <w:tbl>
      <w:tblPr>
        <w:tblStyle w:val="a9"/>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2309E" w:rsidTr="00C2309E">
        <w:trPr>
          <w:trHeight w:val="316"/>
          <w:jc w:val="right"/>
        </w:trPr>
        <w:tc>
          <w:tcPr>
            <w:tcW w:w="3936" w:type="dxa"/>
            <w:tcBorders>
              <w:top w:val="nil"/>
              <w:left w:val="nil"/>
              <w:bottom w:val="single" w:sz="4" w:space="0" w:color="auto"/>
              <w:right w:val="nil"/>
            </w:tcBorders>
            <w:vAlign w:val="center"/>
            <w:hideMark/>
          </w:tcPr>
          <w:p w:rsidR="00C2309E" w:rsidRDefault="00CF6BA2">
            <w:pPr>
              <w:jc w:val="center"/>
              <w:rPr>
                <w:rFonts w:cs="Times New Roman"/>
                <w:noProof w:val="0"/>
              </w:rPr>
            </w:pPr>
            <w:sdt>
              <w:sdtPr>
                <w:rPr>
                  <w:rFonts w:cs="Times New Roman"/>
                  <w:rtl/>
                </w:rPr>
                <w:alias w:val="MergeField"/>
                <w:tag w:val="2144"/>
                <w:id w:val="543260013"/>
              </w:sdtPr>
              <w:sdtEndPr/>
              <w:sdtContent>
                <w:r w:rsidR="00C2309E">
                  <w:drawing>
                    <wp:inline distT="0" distB="0" distL="0" distR="0">
                      <wp:extent cx="528320" cy="532765"/>
                      <wp:effectExtent l="0" t="0" r="5080"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320" cy="532765"/>
                              </a:xfrm>
                              <a:prstGeom prst="rect">
                                <a:avLst/>
                              </a:prstGeom>
                              <a:noFill/>
                              <a:ln>
                                <a:noFill/>
                              </a:ln>
                            </pic:spPr>
                          </pic:pic>
                        </a:graphicData>
                      </a:graphic>
                    </wp:inline>
                  </w:drawing>
                </w:r>
              </w:sdtContent>
            </w:sdt>
          </w:p>
        </w:tc>
      </w:tr>
      <w:tr w:rsidR="00C2309E" w:rsidTr="00C2309E">
        <w:trPr>
          <w:trHeight w:val="361"/>
          <w:jc w:val="right"/>
        </w:trPr>
        <w:tc>
          <w:tcPr>
            <w:tcW w:w="3936" w:type="dxa"/>
            <w:tcBorders>
              <w:top w:val="single" w:sz="4" w:space="0" w:color="auto"/>
              <w:left w:val="nil"/>
              <w:bottom w:val="nil"/>
              <w:right w:val="nil"/>
            </w:tcBorders>
            <w:vAlign w:val="center"/>
            <w:hideMark/>
          </w:tcPr>
          <w:p w:rsidR="00C2309E" w:rsidRDefault="00CF6BA2">
            <w:pPr>
              <w:jc w:val="center"/>
              <w:rPr>
                <w:b/>
                <w:bCs/>
                <w:rtl/>
              </w:rPr>
            </w:pPr>
            <w:sdt>
              <w:sdtPr>
                <w:rPr>
                  <w:b/>
                  <w:bCs/>
                  <w:rtl/>
                </w:rPr>
                <w:alias w:val="2141"/>
                <w:tag w:val="2141"/>
                <w:id w:val="2119712613"/>
                <w:placeholder>
                  <w:docPart w:val="3A760204546F4964849B33B097980955"/>
                </w:placeholder>
                <w:text w:multiLine="1"/>
              </w:sdtPr>
              <w:sdtEndPr/>
              <w:sdtContent>
                <w:r w:rsidR="00C2309E">
                  <w:rPr>
                    <w:b/>
                    <w:bCs/>
                    <w:rtl/>
                  </w:rPr>
                  <w:t>יובל</w:t>
                </w:r>
              </w:sdtContent>
            </w:sdt>
            <w:r w:rsidR="00C2309E">
              <w:rPr>
                <w:rFonts w:hint="cs"/>
                <w:b/>
                <w:bCs/>
                <w:rtl/>
              </w:rPr>
              <w:t xml:space="preserve"> </w:t>
            </w:r>
            <w:sdt>
              <w:sdtPr>
                <w:rPr>
                  <w:rFonts w:cs="Times New Roman"/>
                  <w:b/>
                  <w:bCs/>
                  <w:rtl/>
                </w:rPr>
                <w:alias w:val="2142"/>
                <w:tag w:val="2142"/>
                <w:id w:val="-26639521"/>
                <w:placeholder>
                  <w:docPart w:val="82DAEC469433455FB782492BC7C029D6"/>
                </w:placeholder>
                <w:text w:multiLine="1"/>
              </w:sdtPr>
              <w:sdtEndPr/>
              <w:sdtContent>
                <w:r w:rsidR="00C2309E">
                  <w:rPr>
                    <w:b/>
                    <w:bCs/>
                    <w:rtl/>
                  </w:rPr>
                  <w:t>ליבדרו</w:t>
                </w:r>
              </w:sdtContent>
            </w:sdt>
            <w:r w:rsidR="00C2309E">
              <w:rPr>
                <w:rFonts w:hint="cs"/>
                <w:b/>
                <w:bCs/>
                <w:rtl/>
              </w:rPr>
              <w:t xml:space="preserve">, </w:t>
            </w:r>
            <w:sdt>
              <w:sdtPr>
                <w:rPr>
                  <w:rFonts w:cs="Times New Roman"/>
                  <w:b/>
                  <w:bCs/>
                  <w:rtl/>
                </w:rPr>
                <w:alias w:val="2143"/>
                <w:tag w:val="2143"/>
                <w:id w:val="1647695366"/>
                <w:placeholder>
                  <w:docPart w:val="8C1BD39169B54DFA8849B777A6727056"/>
                </w:placeholder>
                <w:text w:multiLine="1"/>
              </w:sdtPr>
              <w:sdtEndPr/>
              <w:sdtContent>
                <w:r w:rsidR="00C2309E">
                  <w:rPr>
                    <w:b/>
                    <w:bCs/>
                    <w:rtl/>
                  </w:rPr>
                  <w:t>שופט</w:t>
                </w:r>
              </w:sdtContent>
            </w:sdt>
          </w:p>
        </w:tc>
      </w:tr>
    </w:tbl>
    <w:p w:rsidR="001F585E" w:rsidRPr="000550EC" w:rsidRDefault="001F585E" w:rsidP="001F585E">
      <w:pPr>
        <w:spacing w:line="360" w:lineRule="auto"/>
        <w:ind w:firstLine="43"/>
        <w:jc w:val="both"/>
      </w:pPr>
    </w:p>
    <w:sectPr w:rsidR="001F585E" w:rsidRPr="000550EC" w:rsidSect="006644D0">
      <w:headerReference w:type="even" r:id="rId11"/>
      <w:headerReference w:type="default" r:id="rId12"/>
      <w:footerReference w:type="even" r:id="rId13"/>
      <w:footerReference w:type="default" r:id="rId14"/>
      <w:headerReference w:type="first" r:id="rId15"/>
      <w:footerReference w:type="first" r:id="rId16"/>
      <w:pgSz w:w="11907" w:h="16840" w:code="9"/>
      <w:pgMar w:top="1440" w:right="1842"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BA2" w:rsidRDefault="00CF6BA2">
      <w:r>
        <w:separator/>
      </w:r>
    </w:p>
  </w:endnote>
  <w:endnote w:type="continuationSeparator" w:id="0">
    <w:p w:rsidR="00CF6BA2" w:rsidRDefault="00CF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0EC" w:rsidRDefault="000550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3B788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3B7885">
      <w:rPr>
        <w:rStyle w:val="ab"/>
        <w:rFonts w:ascii="David" w:hAnsi="David"/>
        <w:rtl/>
      </w:rPr>
      <w:t>17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0EC" w:rsidRDefault="000550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BA2" w:rsidRDefault="00CF6BA2">
      <w:r>
        <w:separator/>
      </w:r>
    </w:p>
  </w:footnote>
  <w:footnote w:type="continuationSeparator" w:id="0">
    <w:p w:rsidR="00CF6BA2" w:rsidRDefault="00CF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0EC" w:rsidRDefault="000550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4"/>
      <w:gridCol w:w="3491"/>
    </w:tblGrid>
    <w:tr w:rsidR="00694556" w:rsidTr="00894766">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p>
          </w:tc>
        </w:sdtContent>
      </w:sdt>
    </w:tr>
    <w:tr w:rsidR="00694556" w:rsidTr="00894766">
      <w:trPr>
        <w:trHeight w:val="337"/>
        <w:jc w:val="center"/>
      </w:trPr>
      <w:tc>
        <w:tcPr>
          <w:tcW w:w="4799" w:type="dxa"/>
        </w:tcPr>
        <w:p w:rsidR="00694556" w:rsidRDefault="00894766">
          <w:pPr>
            <w:rPr>
              <w:b/>
              <w:bCs/>
              <w:noProof w:val="0"/>
              <w:sz w:val="26"/>
              <w:szCs w:val="26"/>
              <w:rtl/>
            </w:rPr>
          </w:pPr>
          <w:r>
            <w:rPr>
              <w:rFonts w:hint="cs"/>
              <w:b/>
              <w:bCs/>
              <w:noProof w:val="0"/>
              <w:sz w:val="26"/>
              <w:szCs w:val="26"/>
              <w:rtl/>
            </w:rPr>
            <w:t>לפני כב' השופט יובל ליבדרו</w:t>
          </w:r>
        </w:p>
      </w:tc>
      <w:tc>
        <w:tcPr>
          <w:tcW w:w="3508" w:type="dxa"/>
        </w:tcPr>
        <w:p w:rsidR="00694556" w:rsidRDefault="00CF6BA2">
          <w:pPr>
            <w:pStyle w:val="a3"/>
            <w:jc w:val="right"/>
            <w:rPr>
              <w:b/>
              <w:bCs/>
              <w:noProof w:val="0"/>
              <w:sz w:val="26"/>
              <w:szCs w:val="26"/>
              <w:rtl/>
            </w:rPr>
          </w:pPr>
          <w:sdt>
            <w:sdtPr>
              <w:rPr>
                <w:rtl/>
              </w:rPr>
              <w:alias w:val="1170"/>
              <w:tag w:val="1170"/>
              <w:id w:val="1066377040"/>
              <w:text w:multiLine="1"/>
            </w:sdtPr>
            <w:sdtEndPr/>
            <w:sdtContent>
              <w:r w:rsidR="00894766">
                <w:rPr>
                  <w:b/>
                  <w:bCs/>
                  <w:noProof w:val="0"/>
                  <w:sz w:val="26"/>
                  <w:szCs w:val="26"/>
                  <w:rtl/>
                </w:rPr>
                <w:t>עת"מ</w:t>
              </w:r>
            </w:sdtContent>
          </w:sdt>
          <w:r w:rsidR="00894766">
            <w:rPr>
              <w:b/>
              <w:bCs/>
              <w:noProof w:val="0"/>
              <w:sz w:val="26"/>
              <w:szCs w:val="26"/>
              <w:rtl/>
            </w:rPr>
            <w:t xml:space="preserve"> </w:t>
          </w:r>
          <w:sdt>
            <w:sdtPr>
              <w:rPr>
                <w:rtl/>
              </w:rPr>
              <w:alias w:val="1171"/>
              <w:tag w:val="1171"/>
              <w:id w:val="257034231"/>
              <w:text w:multiLine="1"/>
            </w:sdtPr>
            <w:sdtEndPr/>
            <w:sdtContent>
              <w:r w:rsidR="00894766">
                <w:rPr>
                  <w:b/>
                  <w:bCs/>
                  <w:noProof w:val="0"/>
                  <w:sz w:val="26"/>
                  <w:szCs w:val="26"/>
                  <w:rtl/>
                </w:rPr>
                <w:t>13541-02-24</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0EC" w:rsidRDefault="000550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523FA"/>
    <w:multiLevelType w:val="hybridMultilevel"/>
    <w:tmpl w:val="45B0D95E"/>
    <w:lvl w:ilvl="0" w:tplc="8BF4836E">
      <w:start w:val="1"/>
      <w:numFmt w:val="decimal"/>
      <w:lvlText w:val="%1."/>
      <w:lvlJc w:val="left"/>
      <w:pPr>
        <w:tabs>
          <w:tab w:val="num" w:pos="0"/>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6373C7C"/>
    <w:multiLevelType w:val="hybridMultilevel"/>
    <w:tmpl w:val="4B28BCE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73145"/>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973145&amp;lt;/CaseID&amp;gt;_x000d__x000a_        &amp;lt;DocumentID&amp;gt;452241583&amp;lt;/DocumentID&amp;gt;_x000d__x000a_      &amp;lt;/dt_DocumentCase&amp;gt;_x000d__x000a_      &amp;lt;dt_Document diffgr:id=&amp;quot;dt_Document1&amp;quot; msdata:rowOrder=&amp;quot;0&amp;quot;&amp;gt;_x000d__x000a_        &amp;lt;DocumentID&amp;gt;452241583&amp;lt;/DocumentID&amp;gt;_x000d__x000a_        &amp;lt;DocumentMainID&amp;gt;0&amp;lt;/DocumentMainID&amp;gt;_x000d__x000a_        &amp;lt;CaseID&amp;gt;80973145&amp;lt;/CaseID&amp;gt;_x000d__x000a_        &amp;lt;DocumentIncludedDate&amp;gt;2024-08-07T15:43:08.503+03:00&amp;lt;/DocumentIncludedDate&amp;gt;_x000d__x000a_        &amp;lt;DocumentDesc&amp;gt;פסק דין  שניתנה ע&amp;quot;י  יובל ליבדרו&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8-07T15:43:08.503+03:00&amp;lt;/DocumentSavingDate&amp;gt;_x000d__x000a_        &amp;lt;DocumentChangeDate&amp;gt;2024-08-07T15:43:08.597+03:00&amp;lt;/DocumentChangeDate&amp;gt;_x000d__x000a_        &amp;lt;IsScanned&amp;gt;false&amp;lt;/IsScanned&amp;gt;_x000d__x000a_        &amp;lt;PageQuantity&amp;gt;0&amp;lt;/PageQuantity&amp;gt;_x000d__x000a_        &amp;lt;DocumentStatusID&amp;gt;2&amp;lt;/DocumentStatusID&amp;gt;_x000d__x000a_        &amp;lt;DocumentStatusChangeDate&amp;gt;2024-08-07T15:43:08.597+03:00&amp;lt;/DocumentStatusChangeDate&amp;gt;_x000d__x000a_        &amp;lt;TemplateVersionID&amp;gt;1&amp;lt;/TemplateVersionID&amp;gt;_x000d__x000a_        &amp;lt;DocumentChangeUserID&amp;gt;038682266@GOV.IL&amp;lt;/DocumentChangeUserID&amp;gt;_x000d__x000a_        &amp;lt;DocumentCreationUserID&amp;gt;038682266@GOV.IL&amp;lt;/DocumentCreationUserID&amp;gt;_x000d__x000a_        &amp;lt;OriginalDocumentID&amp;gt;449587657&amp;lt;/OriginalDocumentID&amp;gt;_x000d__x000a_        &amp;lt;PrivillegeID&amp;gt;5&amp;lt;/PrivillegeID&amp;gt;_x000d__x000a_        &amp;lt;FromPage&amp;gt;0&amp;lt;/FromPage&amp;gt;_x000d__x000a_        &amp;lt;ToPage&amp;gt;0&amp;lt;/ToPage&amp;gt;_x000d__x000a_        &amp;lt;FileID&amp;gt;5055dd2c91010000090037f6aae6a1a8&amp;lt;/FileID&amp;gt;_x000d__x000a_        &amp;lt;URL&amp;gt;\\CTLNFSV02\doc_repository\821\130\d409cff0d5c943cf8a6a799889e7f862_copy.docx&amp;lt;/URL&amp;gt;_x000d__x000a_        &amp;lt;OlivePriority&amp;gt;1&amp;lt;/OlivePriority&amp;gt;_x000d__x000a_        &amp;lt;MetaDataTypeID&amp;gt;1&amp;lt;/MetaDataTypeID&amp;gt;_x000d__x000a_        &amp;lt;MetaDataChangeDate&amp;gt;2024-08-07T15:43:08.59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ובל ליבדרו&amp;amp;lt;/anyType&amp;amp;gt;_x000d__x000a_    &amp;amp;lt;anyType xsi:type=&amp;quot;xsd:dateTime&amp;quot;&amp;amp;gt;2024-08-07T15:37:41.40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07T15:37:41.40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35784"/>
    <w:rsid w:val="00047DFE"/>
    <w:rsid w:val="000529D2"/>
    <w:rsid w:val="000550EC"/>
    <w:rsid w:val="000564AB"/>
    <w:rsid w:val="00064FBD"/>
    <w:rsid w:val="00080D21"/>
    <w:rsid w:val="00082AB2"/>
    <w:rsid w:val="000906FE"/>
    <w:rsid w:val="00092DEA"/>
    <w:rsid w:val="00094186"/>
    <w:rsid w:val="00096AF7"/>
    <w:rsid w:val="000A1F0D"/>
    <w:rsid w:val="000A2EE5"/>
    <w:rsid w:val="000A3686"/>
    <w:rsid w:val="000A4E0B"/>
    <w:rsid w:val="000B344B"/>
    <w:rsid w:val="000C3B0F"/>
    <w:rsid w:val="000C3B60"/>
    <w:rsid w:val="000D20B6"/>
    <w:rsid w:val="000D21EE"/>
    <w:rsid w:val="000E0DD2"/>
    <w:rsid w:val="000E3AF1"/>
    <w:rsid w:val="000F0BC8"/>
    <w:rsid w:val="000F0C88"/>
    <w:rsid w:val="000F0DD6"/>
    <w:rsid w:val="00101925"/>
    <w:rsid w:val="00107E6D"/>
    <w:rsid w:val="0011194C"/>
    <w:rsid w:val="0011424C"/>
    <w:rsid w:val="001173C6"/>
    <w:rsid w:val="00121DFA"/>
    <w:rsid w:val="00122A9F"/>
    <w:rsid w:val="001237B7"/>
    <w:rsid w:val="00127053"/>
    <w:rsid w:val="00127E1E"/>
    <w:rsid w:val="001367BC"/>
    <w:rsid w:val="00144D2A"/>
    <w:rsid w:val="0014653E"/>
    <w:rsid w:val="0015473C"/>
    <w:rsid w:val="0015781C"/>
    <w:rsid w:val="00160316"/>
    <w:rsid w:val="00180519"/>
    <w:rsid w:val="00184C22"/>
    <w:rsid w:val="00191C82"/>
    <w:rsid w:val="001A360B"/>
    <w:rsid w:val="001B095C"/>
    <w:rsid w:val="001C216E"/>
    <w:rsid w:val="001C4003"/>
    <w:rsid w:val="001C72A3"/>
    <w:rsid w:val="001D058C"/>
    <w:rsid w:val="001D4DBF"/>
    <w:rsid w:val="001E75CA"/>
    <w:rsid w:val="001F542A"/>
    <w:rsid w:val="001F585E"/>
    <w:rsid w:val="00210CD9"/>
    <w:rsid w:val="002265FF"/>
    <w:rsid w:val="00232131"/>
    <w:rsid w:val="002328C9"/>
    <w:rsid w:val="00233BC1"/>
    <w:rsid w:val="002340C6"/>
    <w:rsid w:val="00240F43"/>
    <w:rsid w:val="00254783"/>
    <w:rsid w:val="002602A4"/>
    <w:rsid w:val="00264D09"/>
    <w:rsid w:val="00271B56"/>
    <w:rsid w:val="00272E32"/>
    <w:rsid w:val="002835B2"/>
    <w:rsid w:val="002921FE"/>
    <w:rsid w:val="002A7F7B"/>
    <w:rsid w:val="002B0A83"/>
    <w:rsid w:val="002B47C7"/>
    <w:rsid w:val="002C344E"/>
    <w:rsid w:val="002D0A2B"/>
    <w:rsid w:val="002D5018"/>
    <w:rsid w:val="002E4645"/>
    <w:rsid w:val="002E75E9"/>
    <w:rsid w:val="002E7AEC"/>
    <w:rsid w:val="002F0B1E"/>
    <w:rsid w:val="0030411E"/>
    <w:rsid w:val="0030532A"/>
    <w:rsid w:val="00307A6A"/>
    <w:rsid w:val="00307C40"/>
    <w:rsid w:val="00320433"/>
    <w:rsid w:val="003230C7"/>
    <w:rsid w:val="003275D7"/>
    <w:rsid w:val="00327E50"/>
    <w:rsid w:val="00332B04"/>
    <w:rsid w:val="0033597A"/>
    <w:rsid w:val="00343D89"/>
    <w:rsid w:val="0035055A"/>
    <w:rsid w:val="00351A83"/>
    <w:rsid w:val="00351B17"/>
    <w:rsid w:val="003520EE"/>
    <w:rsid w:val="00362612"/>
    <w:rsid w:val="0036743F"/>
    <w:rsid w:val="00367C07"/>
    <w:rsid w:val="003707B7"/>
    <w:rsid w:val="003715DD"/>
    <w:rsid w:val="003808E7"/>
    <w:rsid w:val="003823E0"/>
    <w:rsid w:val="003874D5"/>
    <w:rsid w:val="003959BD"/>
    <w:rsid w:val="003A4521"/>
    <w:rsid w:val="003B7885"/>
    <w:rsid w:val="003D1C8C"/>
    <w:rsid w:val="003D37AB"/>
    <w:rsid w:val="003E1437"/>
    <w:rsid w:val="003E38C7"/>
    <w:rsid w:val="003F1814"/>
    <w:rsid w:val="0040096C"/>
    <w:rsid w:val="00414F1F"/>
    <w:rsid w:val="00422BEE"/>
    <w:rsid w:val="00424313"/>
    <w:rsid w:val="0043125D"/>
    <w:rsid w:val="0043502B"/>
    <w:rsid w:val="00435AEF"/>
    <w:rsid w:val="00436E8D"/>
    <w:rsid w:val="00441E7E"/>
    <w:rsid w:val="004443AC"/>
    <w:rsid w:val="00444B02"/>
    <w:rsid w:val="0045074F"/>
    <w:rsid w:val="00451E28"/>
    <w:rsid w:val="004552F8"/>
    <w:rsid w:val="004616A0"/>
    <w:rsid w:val="00462C62"/>
    <w:rsid w:val="00465D36"/>
    <w:rsid w:val="00474BE3"/>
    <w:rsid w:val="00482CE9"/>
    <w:rsid w:val="004A20A5"/>
    <w:rsid w:val="004B26FE"/>
    <w:rsid w:val="004B4B18"/>
    <w:rsid w:val="004C17EE"/>
    <w:rsid w:val="004C4BDF"/>
    <w:rsid w:val="004D0A45"/>
    <w:rsid w:val="004D1187"/>
    <w:rsid w:val="004D3AA0"/>
    <w:rsid w:val="004E1987"/>
    <w:rsid w:val="004E2E15"/>
    <w:rsid w:val="004E42FE"/>
    <w:rsid w:val="004E6E3C"/>
    <w:rsid w:val="004F4616"/>
    <w:rsid w:val="005008F9"/>
    <w:rsid w:val="00515466"/>
    <w:rsid w:val="00515834"/>
    <w:rsid w:val="00515EA3"/>
    <w:rsid w:val="00517631"/>
    <w:rsid w:val="00517B97"/>
    <w:rsid w:val="00520898"/>
    <w:rsid w:val="005226D6"/>
    <w:rsid w:val="00523621"/>
    <w:rsid w:val="00524986"/>
    <w:rsid w:val="005268F6"/>
    <w:rsid w:val="00534284"/>
    <w:rsid w:val="0054140F"/>
    <w:rsid w:val="00547DB7"/>
    <w:rsid w:val="0055223B"/>
    <w:rsid w:val="00557717"/>
    <w:rsid w:val="00564840"/>
    <w:rsid w:val="00566FEF"/>
    <w:rsid w:val="00570A90"/>
    <w:rsid w:val="00576A86"/>
    <w:rsid w:val="00581068"/>
    <w:rsid w:val="00583866"/>
    <w:rsid w:val="00586222"/>
    <w:rsid w:val="00596C4C"/>
    <w:rsid w:val="005C35D9"/>
    <w:rsid w:val="005D0ABA"/>
    <w:rsid w:val="005D5C65"/>
    <w:rsid w:val="005D75DF"/>
    <w:rsid w:val="005E28C2"/>
    <w:rsid w:val="005E2BF4"/>
    <w:rsid w:val="005E2D85"/>
    <w:rsid w:val="005F2CF5"/>
    <w:rsid w:val="005F4F09"/>
    <w:rsid w:val="00600622"/>
    <w:rsid w:val="006015F7"/>
    <w:rsid w:val="0060317F"/>
    <w:rsid w:val="00603F73"/>
    <w:rsid w:val="0061431B"/>
    <w:rsid w:val="00621A4F"/>
    <w:rsid w:val="00622BAA"/>
    <w:rsid w:val="00624007"/>
    <w:rsid w:val="00624F11"/>
    <w:rsid w:val="00625208"/>
    <w:rsid w:val="006306CF"/>
    <w:rsid w:val="00644E9A"/>
    <w:rsid w:val="006644D0"/>
    <w:rsid w:val="00671BD5"/>
    <w:rsid w:val="00675728"/>
    <w:rsid w:val="006805C1"/>
    <w:rsid w:val="00686C21"/>
    <w:rsid w:val="006931C1"/>
    <w:rsid w:val="00694556"/>
    <w:rsid w:val="006A61A8"/>
    <w:rsid w:val="006B53C5"/>
    <w:rsid w:val="006C16E6"/>
    <w:rsid w:val="006C30C5"/>
    <w:rsid w:val="006C398C"/>
    <w:rsid w:val="006C5537"/>
    <w:rsid w:val="006D3B31"/>
    <w:rsid w:val="006E0D96"/>
    <w:rsid w:val="006E1A53"/>
    <w:rsid w:val="006E4A7B"/>
    <w:rsid w:val="006E6FC2"/>
    <w:rsid w:val="006F37EF"/>
    <w:rsid w:val="006F56E6"/>
    <w:rsid w:val="007033A0"/>
    <w:rsid w:val="00704EDA"/>
    <w:rsid w:val="00714159"/>
    <w:rsid w:val="00721122"/>
    <w:rsid w:val="00730992"/>
    <w:rsid w:val="00734689"/>
    <w:rsid w:val="007351F7"/>
    <w:rsid w:val="00743991"/>
    <w:rsid w:val="00745E6B"/>
    <w:rsid w:val="00753019"/>
    <w:rsid w:val="00754801"/>
    <w:rsid w:val="00755C6D"/>
    <w:rsid w:val="00761441"/>
    <w:rsid w:val="00777014"/>
    <w:rsid w:val="00795365"/>
    <w:rsid w:val="007A351D"/>
    <w:rsid w:val="007B06A9"/>
    <w:rsid w:val="007B07BD"/>
    <w:rsid w:val="007B3EB0"/>
    <w:rsid w:val="007B7765"/>
    <w:rsid w:val="007C23C5"/>
    <w:rsid w:val="007C2453"/>
    <w:rsid w:val="007C24A9"/>
    <w:rsid w:val="007C5BDD"/>
    <w:rsid w:val="007D45E3"/>
    <w:rsid w:val="007E6115"/>
    <w:rsid w:val="007F4609"/>
    <w:rsid w:val="00800B47"/>
    <w:rsid w:val="00805EFF"/>
    <w:rsid w:val="00814468"/>
    <w:rsid w:val="008176A1"/>
    <w:rsid w:val="00820005"/>
    <w:rsid w:val="00822DF5"/>
    <w:rsid w:val="00840C9F"/>
    <w:rsid w:val="00844318"/>
    <w:rsid w:val="00860102"/>
    <w:rsid w:val="00860DD3"/>
    <w:rsid w:val="0086153C"/>
    <w:rsid w:val="00863F5D"/>
    <w:rsid w:val="008640F9"/>
    <w:rsid w:val="00870890"/>
    <w:rsid w:val="00873602"/>
    <w:rsid w:val="00874B12"/>
    <w:rsid w:val="00875D12"/>
    <w:rsid w:val="00876170"/>
    <w:rsid w:val="0088371C"/>
    <w:rsid w:val="0088479D"/>
    <w:rsid w:val="00891F42"/>
    <w:rsid w:val="00893005"/>
    <w:rsid w:val="00894766"/>
    <w:rsid w:val="00896889"/>
    <w:rsid w:val="008A0458"/>
    <w:rsid w:val="008A1F7E"/>
    <w:rsid w:val="008A5A51"/>
    <w:rsid w:val="008A6E97"/>
    <w:rsid w:val="008C30BC"/>
    <w:rsid w:val="008C5714"/>
    <w:rsid w:val="008D10B2"/>
    <w:rsid w:val="008E27EE"/>
    <w:rsid w:val="009035C1"/>
    <w:rsid w:val="00903896"/>
    <w:rsid w:val="009056A3"/>
    <w:rsid w:val="00906F3D"/>
    <w:rsid w:val="0094424E"/>
    <w:rsid w:val="00955642"/>
    <w:rsid w:val="009622DF"/>
    <w:rsid w:val="0096493F"/>
    <w:rsid w:val="00967DFF"/>
    <w:rsid w:val="00974A05"/>
    <w:rsid w:val="00982037"/>
    <w:rsid w:val="00990686"/>
    <w:rsid w:val="00994341"/>
    <w:rsid w:val="009A035E"/>
    <w:rsid w:val="009C2A83"/>
    <w:rsid w:val="009C38A8"/>
    <w:rsid w:val="009D1A48"/>
    <w:rsid w:val="009E1CE7"/>
    <w:rsid w:val="009E461A"/>
    <w:rsid w:val="009E4EA5"/>
    <w:rsid w:val="009E7BC7"/>
    <w:rsid w:val="009F03B8"/>
    <w:rsid w:val="009F164B"/>
    <w:rsid w:val="009F1B31"/>
    <w:rsid w:val="009F323C"/>
    <w:rsid w:val="009F46CA"/>
    <w:rsid w:val="009F644C"/>
    <w:rsid w:val="00A003A0"/>
    <w:rsid w:val="00A02DB9"/>
    <w:rsid w:val="00A05F8F"/>
    <w:rsid w:val="00A06ADC"/>
    <w:rsid w:val="00A06E43"/>
    <w:rsid w:val="00A12498"/>
    <w:rsid w:val="00A3392B"/>
    <w:rsid w:val="00A46717"/>
    <w:rsid w:val="00A5367C"/>
    <w:rsid w:val="00A718DB"/>
    <w:rsid w:val="00A81599"/>
    <w:rsid w:val="00A81838"/>
    <w:rsid w:val="00A85E34"/>
    <w:rsid w:val="00A9144F"/>
    <w:rsid w:val="00A93F5E"/>
    <w:rsid w:val="00A94B64"/>
    <w:rsid w:val="00AA119E"/>
    <w:rsid w:val="00AA3229"/>
    <w:rsid w:val="00AA7596"/>
    <w:rsid w:val="00AB3AE3"/>
    <w:rsid w:val="00AB5E52"/>
    <w:rsid w:val="00AC3B02"/>
    <w:rsid w:val="00AC3B7B"/>
    <w:rsid w:val="00AC5209"/>
    <w:rsid w:val="00AD1691"/>
    <w:rsid w:val="00AD50B0"/>
    <w:rsid w:val="00AE0E34"/>
    <w:rsid w:val="00AE729E"/>
    <w:rsid w:val="00AE7752"/>
    <w:rsid w:val="00AF2271"/>
    <w:rsid w:val="00AF7FDA"/>
    <w:rsid w:val="00B02A45"/>
    <w:rsid w:val="00B04923"/>
    <w:rsid w:val="00B2508F"/>
    <w:rsid w:val="00B409BB"/>
    <w:rsid w:val="00B42505"/>
    <w:rsid w:val="00B42FB8"/>
    <w:rsid w:val="00B5356E"/>
    <w:rsid w:val="00B733E7"/>
    <w:rsid w:val="00B809AD"/>
    <w:rsid w:val="00B80CBD"/>
    <w:rsid w:val="00B83EEF"/>
    <w:rsid w:val="00B859C5"/>
    <w:rsid w:val="00B86096"/>
    <w:rsid w:val="00B8791E"/>
    <w:rsid w:val="00B90198"/>
    <w:rsid w:val="00B9272F"/>
    <w:rsid w:val="00B94BD4"/>
    <w:rsid w:val="00B964D9"/>
    <w:rsid w:val="00BA0A7C"/>
    <w:rsid w:val="00BA517C"/>
    <w:rsid w:val="00BB0D45"/>
    <w:rsid w:val="00BB3D05"/>
    <w:rsid w:val="00BB53D3"/>
    <w:rsid w:val="00BB5F62"/>
    <w:rsid w:val="00BB73BE"/>
    <w:rsid w:val="00BB7D26"/>
    <w:rsid w:val="00BC08F6"/>
    <w:rsid w:val="00BC2742"/>
    <w:rsid w:val="00BC2D89"/>
    <w:rsid w:val="00BC4B54"/>
    <w:rsid w:val="00BD0285"/>
    <w:rsid w:val="00BD34B6"/>
    <w:rsid w:val="00BD6531"/>
    <w:rsid w:val="00BE05B2"/>
    <w:rsid w:val="00BE103E"/>
    <w:rsid w:val="00BE16E0"/>
    <w:rsid w:val="00BF1908"/>
    <w:rsid w:val="00C13F2B"/>
    <w:rsid w:val="00C22D93"/>
    <w:rsid w:val="00C2309E"/>
    <w:rsid w:val="00C23458"/>
    <w:rsid w:val="00C23AC9"/>
    <w:rsid w:val="00C24E4A"/>
    <w:rsid w:val="00C251E0"/>
    <w:rsid w:val="00C26DBA"/>
    <w:rsid w:val="00C27471"/>
    <w:rsid w:val="00C31120"/>
    <w:rsid w:val="00C320AA"/>
    <w:rsid w:val="00C34482"/>
    <w:rsid w:val="00C36E73"/>
    <w:rsid w:val="00C40860"/>
    <w:rsid w:val="00C43648"/>
    <w:rsid w:val="00C43EAD"/>
    <w:rsid w:val="00C44250"/>
    <w:rsid w:val="00C47053"/>
    <w:rsid w:val="00C50A9F"/>
    <w:rsid w:val="00C55DAC"/>
    <w:rsid w:val="00C61062"/>
    <w:rsid w:val="00C642FA"/>
    <w:rsid w:val="00C7063E"/>
    <w:rsid w:val="00C770E3"/>
    <w:rsid w:val="00C80B19"/>
    <w:rsid w:val="00C82EEE"/>
    <w:rsid w:val="00C92F99"/>
    <w:rsid w:val="00CA29C7"/>
    <w:rsid w:val="00CB092A"/>
    <w:rsid w:val="00CB09FE"/>
    <w:rsid w:val="00CC28B9"/>
    <w:rsid w:val="00CC7622"/>
    <w:rsid w:val="00CD608F"/>
    <w:rsid w:val="00CF654C"/>
    <w:rsid w:val="00CF6BA2"/>
    <w:rsid w:val="00CF6BB7"/>
    <w:rsid w:val="00D04AA4"/>
    <w:rsid w:val="00D12657"/>
    <w:rsid w:val="00D147AA"/>
    <w:rsid w:val="00D22F4A"/>
    <w:rsid w:val="00D235A2"/>
    <w:rsid w:val="00D2514A"/>
    <w:rsid w:val="00D261C9"/>
    <w:rsid w:val="00D27982"/>
    <w:rsid w:val="00D33B86"/>
    <w:rsid w:val="00D44968"/>
    <w:rsid w:val="00D46D4F"/>
    <w:rsid w:val="00D53924"/>
    <w:rsid w:val="00D55D0C"/>
    <w:rsid w:val="00D67F48"/>
    <w:rsid w:val="00D723CD"/>
    <w:rsid w:val="00D73701"/>
    <w:rsid w:val="00D905E1"/>
    <w:rsid w:val="00D96D8C"/>
    <w:rsid w:val="00DA2495"/>
    <w:rsid w:val="00DA4392"/>
    <w:rsid w:val="00DA6649"/>
    <w:rsid w:val="00DA6E6B"/>
    <w:rsid w:val="00DC1259"/>
    <w:rsid w:val="00DC1BD2"/>
    <w:rsid w:val="00DC2571"/>
    <w:rsid w:val="00DC487C"/>
    <w:rsid w:val="00DD05A8"/>
    <w:rsid w:val="00DD4335"/>
    <w:rsid w:val="00DE1E7D"/>
    <w:rsid w:val="00DE6BF6"/>
    <w:rsid w:val="00DF5C01"/>
    <w:rsid w:val="00E00709"/>
    <w:rsid w:val="00E1068A"/>
    <w:rsid w:val="00E25884"/>
    <w:rsid w:val="00E25B55"/>
    <w:rsid w:val="00E31C2B"/>
    <w:rsid w:val="00E331F5"/>
    <w:rsid w:val="00E3785F"/>
    <w:rsid w:val="00E423FA"/>
    <w:rsid w:val="00E46B51"/>
    <w:rsid w:val="00E5426A"/>
    <w:rsid w:val="00E54642"/>
    <w:rsid w:val="00E54CA0"/>
    <w:rsid w:val="00E61412"/>
    <w:rsid w:val="00E72757"/>
    <w:rsid w:val="00E731CF"/>
    <w:rsid w:val="00E80CBE"/>
    <w:rsid w:val="00E83C04"/>
    <w:rsid w:val="00E9269D"/>
    <w:rsid w:val="00E962E3"/>
    <w:rsid w:val="00EA4C93"/>
    <w:rsid w:val="00EB1074"/>
    <w:rsid w:val="00EB6C79"/>
    <w:rsid w:val="00EC37E9"/>
    <w:rsid w:val="00ED2498"/>
    <w:rsid w:val="00EE5BB0"/>
    <w:rsid w:val="00EF0FB1"/>
    <w:rsid w:val="00EF331B"/>
    <w:rsid w:val="00F038D8"/>
    <w:rsid w:val="00F0416F"/>
    <w:rsid w:val="00F06995"/>
    <w:rsid w:val="00F10FBE"/>
    <w:rsid w:val="00F12762"/>
    <w:rsid w:val="00F12D66"/>
    <w:rsid w:val="00F13623"/>
    <w:rsid w:val="00F14B09"/>
    <w:rsid w:val="00F24D87"/>
    <w:rsid w:val="00F309CB"/>
    <w:rsid w:val="00F44D1D"/>
    <w:rsid w:val="00F5444B"/>
    <w:rsid w:val="00F7648E"/>
    <w:rsid w:val="00F770C7"/>
    <w:rsid w:val="00F80D77"/>
    <w:rsid w:val="00F84B6D"/>
    <w:rsid w:val="00F955C8"/>
    <w:rsid w:val="00F957E8"/>
    <w:rsid w:val="00FA0375"/>
    <w:rsid w:val="00FA311A"/>
    <w:rsid w:val="00FA5FDA"/>
    <w:rsid w:val="00FA67E2"/>
    <w:rsid w:val="00FB6AB3"/>
    <w:rsid w:val="00FC0D8A"/>
    <w:rsid w:val="00FD1419"/>
    <w:rsid w:val="00FD4A0E"/>
    <w:rsid w:val="00FD57FF"/>
    <w:rsid w:val="00FD79E4"/>
    <w:rsid w:val="00FE2894"/>
    <w:rsid w:val="00FF12CD"/>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FD57FF"/>
    <w:rPr>
      <w:color w:val="0000FF"/>
      <w:u w:val="single"/>
    </w:rPr>
  </w:style>
  <w:style w:type="character" w:customStyle="1" w:styleId="Ruller4">
    <w:name w:val="Ruller4 תו"/>
    <w:link w:val="Ruller40"/>
    <w:locked/>
    <w:rsid w:val="00FD57FF"/>
    <w:rPr>
      <w:rFonts w:ascii="Arial TUR" w:hAnsi="Arial TUR" w:cs="FrankRuehl"/>
      <w:spacing w:val="10"/>
      <w:sz w:val="22"/>
      <w:szCs w:val="28"/>
    </w:rPr>
  </w:style>
  <w:style w:type="paragraph" w:customStyle="1" w:styleId="Ruller40">
    <w:name w:val="Ruller4"/>
    <w:basedOn w:val="a"/>
    <w:link w:val="Ruller4"/>
    <w:rsid w:val="00FD57FF"/>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Ruller5">
    <w:name w:val="Ruller5 תו"/>
    <w:link w:val="Ruller50"/>
    <w:locked/>
    <w:rsid w:val="00FD57FF"/>
    <w:rPr>
      <w:rFonts w:ascii="Arial TUR" w:hAnsi="Arial TUR" w:cs="FrankRuehl"/>
      <w:spacing w:val="10"/>
      <w:sz w:val="22"/>
      <w:szCs w:val="28"/>
    </w:rPr>
  </w:style>
  <w:style w:type="paragraph" w:customStyle="1" w:styleId="Ruller50">
    <w:name w:val="Ruller5"/>
    <w:basedOn w:val="a"/>
    <w:link w:val="Ruller5"/>
    <w:rsid w:val="00FD57FF"/>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styleId="ad">
    <w:name w:val="List Paragraph"/>
    <w:basedOn w:val="a"/>
    <w:uiPriority w:val="34"/>
    <w:qFormat/>
    <w:rsid w:val="00522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8439">
      <w:bodyDiv w:val="1"/>
      <w:marLeft w:val="0"/>
      <w:marRight w:val="0"/>
      <w:marTop w:val="0"/>
      <w:marBottom w:val="0"/>
      <w:divBdr>
        <w:top w:val="none" w:sz="0" w:space="0" w:color="auto"/>
        <w:left w:val="none" w:sz="0" w:space="0" w:color="auto"/>
        <w:bottom w:val="none" w:sz="0" w:space="0" w:color="auto"/>
        <w:right w:val="none" w:sz="0" w:space="0" w:color="auto"/>
      </w:divBdr>
    </w:div>
    <w:div w:id="306208647">
      <w:bodyDiv w:val="1"/>
      <w:marLeft w:val="0"/>
      <w:marRight w:val="0"/>
      <w:marTop w:val="0"/>
      <w:marBottom w:val="0"/>
      <w:divBdr>
        <w:top w:val="none" w:sz="0" w:space="0" w:color="auto"/>
        <w:left w:val="none" w:sz="0" w:space="0" w:color="auto"/>
        <w:bottom w:val="none" w:sz="0" w:space="0" w:color="auto"/>
        <w:right w:val="none" w:sz="0" w:space="0" w:color="auto"/>
      </w:divBdr>
    </w:div>
    <w:div w:id="3931672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83720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70302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760204546F4964849B33B097980955"/>
        <w:category>
          <w:name w:val="כללי"/>
          <w:gallery w:val="placeholder"/>
        </w:category>
        <w:types>
          <w:type w:val="bbPlcHdr"/>
        </w:types>
        <w:behaviors>
          <w:behavior w:val="content"/>
        </w:behaviors>
        <w:guid w:val="{E0EACF66-CBE3-4E6F-9363-F2E621B0DF28}"/>
      </w:docPartPr>
      <w:docPartBody>
        <w:p w:rsidR="00017C08" w:rsidRDefault="001D5A97" w:rsidP="001D5A97">
          <w:pPr>
            <w:pStyle w:val="3A760204546F4964849B33B097980955"/>
          </w:pPr>
          <w:r>
            <w:rPr>
              <w:rFonts w:cs="David"/>
              <w:b/>
              <w:bCs/>
              <w:rtl/>
            </w:rPr>
            <w:t>שם פרטי חותם</w:t>
          </w:r>
        </w:p>
      </w:docPartBody>
    </w:docPart>
    <w:docPart>
      <w:docPartPr>
        <w:name w:val="82DAEC469433455FB782492BC7C029D6"/>
        <w:category>
          <w:name w:val="כללי"/>
          <w:gallery w:val="placeholder"/>
        </w:category>
        <w:types>
          <w:type w:val="bbPlcHdr"/>
        </w:types>
        <w:behaviors>
          <w:behavior w:val="content"/>
        </w:behaviors>
        <w:guid w:val="{9DA319B2-45C3-4403-9CE6-30F6F49DC103}"/>
      </w:docPartPr>
      <w:docPartBody>
        <w:p w:rsidR="00017C08" w:rsidRDefault="001D5A97" w:rsidP="001D5A97">
          <w:pPr>
            <w:pStyle w:val="82DAEC469433455FB782492BC7C029D6"/>
          </w:pPr>
          <w:r>
            <w:rPr>
              <w:rFonts w:cs="David"/>
              <w:b/>
              <w:bCs/>
              <w:rtl/>
            </w:rPr>
            <w:t>שם משפחה חותם</w:t>
          </w:r>
        </w:p>
      </w:docPartBody>
    </w:docPart>
    <w:docPart>
      <w:docPartPr>
        <w:name w:val="8C1BD39169B54DFA8849B777A6727056"/>
        <w:category>
          <w:name w:val="כללי"/>
          <w:gallery w:val="placeholder"/>
        </w:category>
        <w:types>
          <w:type w:val="bbPlcHdr"/>
        </w:types>
        <w:behaviors>
          <w:behavior w:val="content"/>
        </w:behaviors>
        <w:guid w:val="{7A4739D5-D63B-4B76-AEFE-7F4622D4465A}"/>
      </w:docPartPr>
      <w:docPartBody>
        <w:p w:rsidR="00017C08" w:rsidRDefault="001D5A97" w:rsidP="001D5A97">
          <w:pPr>
            <w:pStyle w:val="8C1BD39169B54DFA8849B777A6727056"/>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A97"/>
    <w:rsid w:val="00017C08"/>
    <w:rsid w:val="000F64D7"/>
    <w:rsid w:val="001D5A97"/>
    <w:rsid w:val="00F70E9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760204546F4964849B33B097980955">
    <w:name w:val="3A760204546F4964849B33B097980955"/>
    <w:rsid w:val="001D5A97"/>
    <w:pPr>
      <w:bidi/>
    </w:pPr>
  </w:style>
  <w:style w:type="paragraph" w:customStyle="1" w:styleId="82DAEC469433455FB782492BC7C029D6">
    <w:name w:val="82DAEC469433455FB782492BC7C029D6"/>
    <w:rsid w:val="001D5A97"/>
    <w:pPr>
      <w:bidi/>
    </w:pPr>
  </w:style>
  <w:style w:type="paragraph" w:customStyle="1" w:styleId="8C1BD39169B54DFA8849B777A6727056">
    <w:name w:val="8C1BD39169B54DFA8849B777A6727056"/>
    <w:rsid w:val="001D5A9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  יושב ראש הועדה המחוזית</RepresentatedOrRepresentativesNames>
        <RepresentatedOrRepresentativesCount>2</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266035507</CasePartyID>
        <PartyTypeID>2</PartyTypeID>
        <ActivityStatusID>1</ActivityStatusID>
        <PartyAliasID>23</PartyAliasID>
        <PartyAliasName>בא כוח משיבים</PartyAliasName>
        <LegalEntityID>397533</LegalEntityID>
        <CaseLegalEntityID>127674472</CaseLegalEntityID>
        <AuthenticationTypeID>4</AuthenticationTypeID>
        <AuthenticationTypeName>מ.ר.</AuthenticationTypeName>
        <LegalEntityNumber>16699</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20</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משה בלטר</FullName>
        <FirstName>משה</FirstName>
        <LastName>בלטר</LastName>
        <PartyPropertyName/>
        <AuthenticationTypeAndNumber>מ.ר. 5995</AuthenticationTypeAndNumber>
        <RepresentatedOrRepresentativesNames xml:space="preserve"> </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266212356</CasePartyID>
        <PartyTypeID>2</PartyTypeID>
        <ActivityStatusID>1</ActivityStatusID>
        <PartyAliasID>23</PartyAliasID>
        <PartyAliasName>בא כוח משיבים</PartyAliasName>
        <LegalEntityID>380298</LegalEntityID>
        <CaseLegalEntityID>127725747</CaseLegalEntityID>
        <AuthenticationTypeID>4</AuthenticationTypeID>
        <AuthenticationTypeName>מ.ר.</AuthenticationTypeName>
        <LegalEntityNumber>5995</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יגאל אלון 96 a תל אביב -יפו </FullAddress>
        <EmailAddress>bgalaw@bgalaw.co.il</EmailAddress>
        <MotionID>0</MotionID>
        <CasePleaID>0</CasePleaID>
        <FatherName xml:space="preserve">        </FatherName>
        <LinkedCaseID>0</LinkedCaseID>
        <PartyID>2</PartyID>
        <CasePartyCategoryID>2</CasePartyCategoryID>
        <LegalEntityAddressID>79090300</LegalEntityAddressID>
        <LegalEntityEmailAddressID>67937905</LegalEntityEmailAddressID>
        <PleaTypeID>20</PleaTypeID>
        <LawyerOfficeName>משרד עו"ד: בלטר גוט אלוני ושות' (ת"א)</LawyerOfficeName>
        <LawyerOfficeID>420942</LawyerOfficeID>
        <GroupPartyAlias/>
        <IsConverted>false</IsConverted>
        <LegalEntityNameID>1282</LegalEntityNameID>
        <RepresentatedNamesOfAssistant/>
        <LegalEntityTypeID>4</LegalEntityTypeID>
        <IsVerdictExists>false</IsVerdictExists>
        <IsAsirAzir>false</IsAsirAzir>
        <MainAndSecSpec/>
        <IsPublicationProhibited>false</IsPublicationProhibited>
        <PublicationProhibitedFullName>משה בלטר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עמינדב בלוזר</FullName>
        <FirstName>עמינדב</FirstName>
        <LastName>בלוזר</LastName>
        <PartyPropertyName/>
        <AuthenticationTypeAndNumber>מ.ר. 15301</AuthenticationTypeAndNumber>
        <RepresentatedOrRepresentativesNames xml:space="preserve"> </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266035473</CasePartyID>
        <PartyTypeID>2</PartyTypeID>
        <ActivityStatusID>1</ActivityStatusID>
        <PartyAliasID>33</PartyAliasID>
        <PartyAliasName>בא כוח עותרים</PartyAliasName>
        <OrdinalNumber>1</OrdinalNumber>
        <LegalEntityID>380742</LegalEntityID>
        <CaseLegalEntityID>127674443</CaseLegalEntityID>
        <AuthenticationTypeID>4</AuthenticationTypeID>
        <AuthenticationTypeName>מ.ר.</AuthenticationTypeName>
        <LegalEntityNumber>15301</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דרך מנחם בגין 74 תל אביב -יפו </FullAddress>
        <EmailAddress>ami@bluzerlaw.co.il</EmailAddress>
        <MotionID>0</MotionID>
        <CasePleaID>0</CasePleaID>
        <LinkedCaseID>0</LinkedCaseID>
        <PartyID>1</PartyID>
        <CasePartyCategoryID>2</CasePartyCategoryID>
        <LegalEntityAddressID>83549992</LegalEntityAddressID>
        <LegalEntityEmailAddressID>67889266</LegalEntityEmailAddressID>
        <PleaTypeID>20</PleaTypeID>
        <LawyerOfficeName>משרד עו"ד: עמינדב בלוזר</LawyerOfficeName>
        <LawyerOfficeID>421386</LawyerOfficeID>
        <GroupPartyAlias/>
        <IsConverted>false</IsConverted>
        <LegalEntityNameID>1726</LegalEntityNameID>
        <RepresentatedNamesOfAssistant/>
        <LegalEntityTypeID>4</LegalEntityTypeID>
        <IsVerdictExists>false</IsVerdictExists>
        <IsAsirAzir>false</IsAsirAzir>
        <MainAndSecSpec/>
        <IsPublicationProhibited>false</IsPublicationProhibited>
        <PublicationProhibitedFullName>עמינדב בלוזר</PublicationProhibitedFullName>
      </CaseParties>
      <CaseParties>
        <PartyTypeName>צד</PartyTypeName>
        <ProceedingType>כתב טענות עיקרי</ProceedingType>
        <PleaName>עתירה</PleaName>
        <PartyBelonging>צד א'</PartyBelonging>
        <RoleName>עותר 1</RoleName>
        <IsSubProceeding>FALSE</IsSubProceeding>
        <FullName>פז חברת נפט בעמ</FullName>
        <LastName>פז חברת נפט בעמ</LastName>
        <PartyPropertyName/>
        <AuthenticationTypeAndNumber>חברות 510216054</AuthenticationTypeAndNumber>
        <RepresentatedOrRepresentativesNames>עמינדב בלוזר</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266035472</CasePartyID>
        <PartyTypeID>1</PartyTypeID>
        <ActivityStatusID>1</ActivityStatusID>
        <PartyAliasID>14</PartyAliasID>
        <PartyAliasName>עותר</PartyAliasName>
        <OrdinalNumber>1</OrdinalNumber>
        <LegalEntityID>20091</LegalEntityID>
        <CaseLegalEntityID>127674442</CaseLegalEntityID>
        <AuthenticationTypeID>3</AuthenticationTypeID>
        <AuthenticationTypeName>חברות</AuthenticationTypeName>
        <LegalEntityNumber>510216054</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
        <MotionID>0</MotionID>
        <CasePleaID>0</CasePleaID>
        <FatherName xml:space="preserve">        </FatherName>
        <LinkedCaseID>0</LinkedCaseID>
        <PartyID>1</PartyID>
        <CasePartyCategoryID>2</CasePartyCategoryID>
        <PleaTypeID>20</PleaTypeID>
        <GroupPartyAlias>עותרים</GroupPartyAlias>
        <IsConverted>false</IsConverted>
        <LegalEntityRegisteredNameID>19237</LegalEntityRegisteredNameID>
        <RepresentatedNamesOfAssistant/>
        <LegalEntityTypeID>3</LegalEntityTypeID>
        <IsVerdictExists>false</IsVerdictExists>
        <IsAsirAzir>false</IsAsirAzir>
        <MainAndSecSpec/>
        <IsPublicationProhibited>false</IsPublicationProhibited>
        <PublicationProhibitedFullName>פז חברת נפט בעמ</PublicationProhibitedFullName>
      </CaseParties>
      <CaseParties>
        <PartyTypeName>צד</PartyTypeName>
        <ProceedingType>כתב טענות עיקרי</ProceedingType>
        <PleaName>עתירה</PleaName>
        <PartyBelonging>צד ב'</PartyBelonging>
        <RoleName>משיב 1</RoleName>
        <IsSubProceeding>FALSE</IsSubProceeding>
        <FullName>ועדה לתכנון ובנייה באר שבע מחוז דרום</FullName>
        <LastName>ועדה לתכנון ובנייה באר שבע מחוז דרום</LastName>
        <PartyPropertyName/>
        <AuthenticationTypeAndNumber>ועדות מקומיות לתכנון 501501332</AuthenticationTypeAndNumber>
        <RepresentatedOrRepresentativesNames>ציון אילוז</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266035474</CasePartyID>
        <PartyTypeID>1</PartyTypeID>
        <ActivityStatusID>1</ActivityStatusID>
        <PartyAliasID>4</PartyAliasID>
        <PartyAliasName>משיב</PartyAliasName>
        <OrdinalNumber>1</OrdinalNumber>
        <LegalEntityID>15869460</LegalEntityID>
        <CaseLegalEntityID>127674444</CaseLegalEntityID>
        <AuthenticationTypeID>27</AuthenticationTypeID>
        <AuthenticationTypeName>ועדות מקומיות לתכנון</AuthenticationTypeName>
        <LegalEntityNumber>501501332</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משרד הפנים באר שבע </FullAddress>
        <MotionID>0</MotionID>
        <CasePleaID>0</CasePleaID>
        <LinkedCaseID>0</LinkedCaseID>
        <PartyID>2</PartyID>
        <CasePartyCategoryID>2</CasePartyCategoryID>
        <LegalEntityAddressID>71102244</LegalEntityAddressID>
        <PleaTypeID>20</PleaTypeID>
        <GroupPartyAlias>משיבים</GroupPartyAlias>
        <IsConverted>false</IsConverted>
        <LegalEntityRegisteredNameID>1722980</LegalEntityRegisteredNameID>
        <RepresentatedNamesOfAssistant/>
        <LegalEntityTypeID>3</LegalEntityTypeID>
        <IsVerdictExists>false</IsVerdictExists>
        <IsAsirAzir>false</IsAsirAzir>
        <MainAndSecSpec/>
        <IsPublicationProhibited>false</IsPublicationProhibited>
        <PublicationProhibitedFullName>ועדה לתכנון ובנייה באר שבע מחוז דרום</PublicationProhibitedFullName>
      </CaseParties>
      <CaseParties>
        <PartyTypeName>צד</PartyTypeName>
        <ProceedingType>כתב טענות עיקרי</ProceedingType>
        <PleaName>עתירה</PleaName>
        <PartyBelonging>צד ב'</PartyBelonging>
        <RoleName>משיב 2</RoleName>
        <IsSubProceeding>FALSE</IsSubProceeding>
        <FullName>יושב ראש הועדה המחוזית</FullName>
        <LastName>יושב ראש הועדה המחוזית</LastName>
        <PartyPropertyName/>
        <AuthenticationTypeAndNumber>חברות </AuthenticationTypeAndNumber>
        <RepresentatedOrRepresentativesNames>ציון אילוז</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266035470</CasePartyID>
        <PartyTypeID>1</PartyTypeID>
        <ActivityStatusID>1</ActivityStatusID>
        <PartyAliasID>4</PartyAliasID>
        <PartyAliasName>משיב</PartyAliasName>
        <OrdinalNumber>2</OrdinalNumber>
        <LegalEntityID>81719702</LegalEntityID>
        <CaseLegalEntityID>127674440</CaseLegalEntityID>
        <AuthenticationTypeID>3</AuthenticationTypeID>
        <AuthenticationTypeName>חברות</AuthenticationTypeName>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התקווה 4 באר שבע בועדה המחוזית לתכנון ובניה - מחוז הדרום</FullAddress>
        <MotionID>0</MotionID>
        <CasePleaID>0</CasePleaID>
        <BirthDate>1955-01-01T00:00:00+02:00</BirthDate>
        <FatherName>ויקטור חיים</FatherName>
        <LinkedCaseID>0</LinkedCaseID>
        <PartyID>2</PartyID>
        <CasePartyCategoryID>2</CasePartyCategoryID>
        <LegalEntityAddressID>88930857</LegalEntityAddressID>
        <PleaTypeID>20</PleaTypeID>
        <GroupPartyAlias>משיבים</GroupPartyAlias>
        <IsConverted>false</IsConverted>
        <LegalEntityNameID>96115234</LegalEntityNameID>
        <RepresentatedNamesOfAssistant/>
        <LegalEntityTypeID>3</LegalEntityTypeID>
        <IsVerdictExists>false</IsVerdictExists>
        <IsAsirAzir>false</IsAsirAzir>
        <MainAndSecSpec/>
        <IsPublicationProhibited>false</IsPublicationProhibited>
        <PublicationProhibitedFullName>יושב ראש הועדה המחוזית</PublicationProhibitedFullName>
      </CaseParties>
      <CaseParties>
        <PartyTypeName>צד</PartyTypeName>
        <ProceedingType>כתב טענות עיקרי</ProceedingType>
        <PleaName>עתירה</PleaName>
        <PartyBelonging>צד ב'</PartyBelonging>
        <RoleName>משיב 3</RoleName>
        <IsSubProceeding>FALSE</IsSubProceeding>
        <FullName>נתיבי ישראל - החברה הלאומית לתשתיות תחבורה בע"מ</FullName>
        <LastName>נתיבי ישראל - החברה הלאומית לתשתיות תחבורה בע"מ</LastName>
        <PartyPropertyName/>
        <AuthenticationTypeAndNumber>חברות 513467209</AuthenticationTypeAndNumber>
        <RepresentatedOrRepresentativesNames>משה בלטר</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266035471</CasePartyID>
        <PartyTypeID>1</PartyTypeID>
        <ActivityStatusID>1</ActivityStatusID>
        <PartyAliasID>4</PartyAliasID>
        <PartyAliasName>משיב</PartyAliasName>
        <OrdinalNumber>3</OrdinalNumber>
        <LegalEntityID>338645</LegalEntityID>
        <CaseLegalEntityID>127674441</CaseLegalEntityID>
        <AuthenticationTypeID>3</AuthenticationTypeID>
        <AuthenticationTypeName>חברות</AuthenticationTypeName>
        <LegalEntityNumber>513467209</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
        <EmailAddress>MichalS@iroads.co.il</EmailAddress>
        <MotionID>0</MotionID>
        <CasePleaID>0</CasePleaID>
        <LinkedCaseID>0</LinkedCaseID>
        <PartyID>2</PartyID>
        <CasePartyCategoryID>2</CasePartyCategoryID>
        <LegalEntityEmailAddressID>68105218</LegalEntityEmailAddressID>
        <PleaTypeID>20</PleaTypeID>
        <GroupPartyAlias>משיבים</GroupPartyAlias>
        <IsConverted>false</IsConverted>
        <LegalEntityRegisteredNameID>3495957</LegalEntityRegisteredNameID>
        <RepresentatedNamesOfAssistant/>
        <LegalEntityTypeID>3</LegalEntityTypeID>
        <IsVerdictExists>false</IsVerdictExists>
        <IsAsirAzir>false</IsAsirAzir>
        <MainAndSecSpec/>
        <IsPublicationProhibited>false</IsPublicationProhibited>
        <PublicationProhibitedFullName>נתיבי ישראל - החברה הלאומית לתשתיות תחבורה בע"מ</PublicationProhibitedFullName>
      </CaseParties>
    </CasePartiesSelectionDS>
    <DecisionName>פסק דין  שניתנה ע"י  יובל ליבדרו</DecisionName>
    <CourtDisplayName>בית משפט לעניינים מנהליים בבאר שבע</CourtDisplayName>
    <IsCaseJudgePanel>false</IsCaseJudgePanel>
    <DecisionSignatureDate>2024-07-23T10:16:20.2333199+03:00</DecisionSignatureDate>
    <OpenCaseDate>2024-02-06T16:48:00+02:00</OpenCaseDate>
    <CaseFeeSum>0.000</CaseFeeSum>
    <DecisionTypeID>2</DecisionTypeID>
    <DecisionSignatureUserName>יובל ליבדרו</DecisionSignatureUserName>
    <DecisionSignatureDateHebrew>2024-07-23T10:16:20.2333199+03:00</DecisionSignatureDateHebrew>
    <DecisionWriterID>038682266@GOV.IL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פז חברת נפט בעמ נ' ועדה לתכנון ובנייה באר שבע מחוז דרום ואח'</CaseName>
    <DecisionNumberInCase>9</DecisionNumberInCase>
  </dt_Decision>
  <dt_DecisionCase>
    <DecisionID>0</DecisionID>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  יושב ראש הועדה המחוזית</RepresentatedOrRepresentativesNames>
        <RepresentatedOrRepresentativesCount>2</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266035507</CasePartyID>
        <PartyTypeID>2</PartyTypeID>
        <ActivityStatusID>1</ActivityStatusID>
        <PartyAliasID>23</PartyAliasID>
        <PartyAliasName>בא כוח משיבים</PartyAliasName>
        <LegalEntityID>397533</LegalEntityID>
        <CaseLegalEntityID>127674472</CaseLegalEntityID>
        <AuthenticationTypeID>4</AuthenticationTypeID>
        <AuthenticationTypeName>מ.ר.</AuthenticationTypeName>
        <LegalEntityNumber>16699</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20</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משה בלטר</FullName>
        <FirstName>משה</FirstName>
        <LastName>בלטר</LastName>
        <PartyPropertyName/>
        <AuthenticationTypeAndNumber>מ.ר. 5995</AuthenticationTypeAndNumber>
        <RepresentatedOrRepresentativesNames xml:space="preserve"> </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266212356</CasePartyID>
        <PartyTypeID>2</PartyTypeID>
        <ActivityStatusID>1</ActivityStatusID>
        <PartyAliasID>23</PartyAliasID>
        <PartyAliasName>בא כוח משיבים</PartyAliasName>
        <LegalEntityID>380298</LegalEntityID>
        <CaseLegalEntityID>127725747</CaseLegalEntityID>
        <AuthenticationTypeID>4</AuthenticationTypeID>
        <AuthenticationTypeName>מ.ר.</AuthenticationTypeName>
        <LegalEntityNumber>5995</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יגאל אלון 96 a תל אביב -יפו </FullAddress>
        <EmailAddress>bgalaw@bgalaw.co.il</EmailAddress>
        <MotionID>0</MotionID>
        <CasePleaID>0</CasePleaID>
        <FatherName xml:space="preserve">        </FatherName>
        <LinkedCaseID>0</LinkedCaseID>
        <PartyID>2</PartyID>
        <CasePartyCategoryID>2</CasePartyCategoryID>
        <LegalEntityAddressID>79090300</LegalEntityAddressID>
        <LegalEntityEmailAddressID>67937905</LegalEntityEmailAddressID>
        <PleaTypeID>20</PleaTypeID>
        <LawyerOfficeName>משרד עו"ד: בלטר גוט אלוני ושות' (ת"א)</LawyerOfficeName>
        <LawyerOfficeID>420942</LawyerOfficeID>
        <GroupPartyAlias/>
        <IsConverted>false</IsConverted>
        <LegalEntityNameID>1282</LegalEntityNameID>
        <RepresentatedNamesOfAssistant/>
        <LegalEntityTypeID>4</LegalEntityTypeID>
        <IsVerdictExists>false</IsVerdictExists>
        <IsAsirAzir>false</IsAsirAzir>
        <MainAndSecSpec/>
        <IsPublicationProhibited>false</IsPublicationProhibited>
        <PublicationProhibitedFullName>משה בלטר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עמינדב בלוזר</FullName>
        <FirstName>עמינדב</FirstName>
        <LastName>בלוזר</LastName>
        <PartyPropertyName/>
        <AuthenticationTypeAndNumber>מ.ר. 15301</AuthenticationTypeAndNumber>
        <RepresentatedOrRepresentativesNames xml:space="preserve"> </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266035473</CasePartyID>
        <PartyTypeID>2</PartyTypeID>
        <ActivityStatusID>1</ActivityStatusID>
        <PartyAliasID>33</PartyAliasID>
        <PartyAliasName>בא כוח עותרים</PartyAliasName>
        <OrdinalNumber>1</OrdinalNumber>
        <LegalEntityID>380742</LegalEntityID>
        <CaseLegalEntityID>127674443</CaseLegalEntityID>
        <AuthenticationTypeID>4</AuthenticationTypeID>
        <AuthenticationTypeName>מ.ר.</AuthenticationTypeName>
        <LegalEntityNumber>15301</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דרך מנחם בגין 74 תל אביב -יפו </FullAddress>
        <EmailAddress>ami@bluzerlaw.co.il</EmailAddress>
        <MotionID>0</MotionID>
        <CasePleaID>0</CasePleaID>
        <LinkedCaseID>0</LinkedCaseID>
        <PartyID>1</PartyID>
        <CasePartyCategoryID>2</CasePartyCategoryID>
        <LegalEntityAddressID>83549992</LegalEntityAddressID>
        <LegalEntityEmailAddressID>67889266</LegalEntityEmailAddressID>
        <PleaTypeID>20</PleaTypeID>
        <LawyerOfficeName>משרד עו"ד: עמינדב בלוזר</LawyerOfficeName>
        <LawyerOfficeID>421386</LawyerOfficeID>
        <GroupPartyAlias/>
        <IsConverted>false</IsConverted>
        <LegalEntityNameID>1726</LegalEntityNameID>
        <RepresentatedNamesOfAssistant/>
        <LegalEntityTypeID>4</LegalEntityTypeID>
        <IsVerdictExists>false</IsVerdictExists>
        <IsAsirAzir>false</IsAsirAzir>
        <MainAndSecSpec/>
        <IsPublicationProhibited>false</IsPublicationProhibited>
        <PublicationProhibitedFullName>עמינדב בלוזר</PublicationProhibitedFullName>
      </CaseParties>
      <CaseParties>
        <PartyTypeName>צד</PartyTypeName>
        <ProceedingType>כתב טענות עיקרי</ProceedingType>
        <PleaName>עתירה</PleaName>
        <PartyBelonging>צד א'</PartyBelonging>
        <RoleName>עותר 1</RoleName>
        <IsSubProceeding>FALSE</IsSubProceeding>
        <FullName>פז חברת נפט בעמ</FullName>
        <LastName>פז חברת נפט בעמ</LastName>
        <PartyPropertyName/>
        <AuthenticationTypeAndNumber>חברות 510216054</AuthenticationTypeAndNumber>
        <RepresentatedOrRepresentativesNames>עמינדב בלוזר</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266035472</CasePartyID>
        <PartyTypeID>1</PartyTypeID>
        <ActivityStatusID>1</ActivityStatusID>
        <PartyAliasID>14</PartyAliasID>
        <PartyAliasName>עותר</PartyAliasName>
        <OrdinalNumber>1</OrdinalNumber>
        <LegalEntityID>20091</LegalEntityID>
        <CaseLegalEntityID>127674442</CaseLegalEntityID>
        <AuthenticationTypeID>3</AuthenticationTypeID>
        <AuthenticationTypeName>חברות</AuthenticationTypeName>
        <LegalEntityNumber>510216054</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
        <MotionID>0</MotionID>
        <CasePleaID>0</CasePleaID>
        <FatherName xml:space="preserve">        </FatherName>
        <LinkedCaseID>0</LinkedCaseID>
        <PartyID>1</PartyID>
        <CasePartyCategoryID>2</CasePartyCategoryID>
        <PleaTypeID>20</PleaTypeID>
        <GroupPartyAlias>עותרים</GroupPartyAlias>
        <IsConverted>false</IsConverted>
        <LegalEntityRegisteredNameID>19237</LegalEntityRegisteredNameID>
        <RepresentatedNamesOfAssistant/>
        <LegalEntityTypeID>3</LegalEntityTypeID>
        <IsVerdictExists>false</IsVerdictExists>
        <IsAsirAzir>false</IsAsirAzir>
        <MainAndSecSpec/>
        <IsPublicationProhibited>false</IsPublicationProhibited>
        <PublicationProhibitedFullName>פז חברת נפט בעמ</PublicationProhibitedFullName>
      </CaseParties>
      <CaseParties>
        <PartyTypeName>צד</PartyTypeName>
        <ProceedingType>כתב טענות עיקרי</ProceedingType>
        <PleaName>עתירה</PleaName>
        <PartyBelonging>צד ב'</PartyBelonging>
        <RoleName>משיב 1</RoleName>
        <IsSubProceeding>FALSE</IsSubProceeding>
        <FullName>ועדה לתכנון ובנייה באר שבע מחוז דרום</FullName>
        <LastName>ועדה לתכנון ובנייה באר שבע מחוז דרום</LastName>
        <PartyPropertyName/>
        <AuthenticationTypeAndNumber>ועדות מקומיות לתכנון 501501332</AuthenticationTypeAndNumber>
        <RepresentatedOrRepresentativesNames>ציון אילוז</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266035474</CasePartyID>
        <PartyTypeID>1</PartyTypeID>
        <ActivityStatusID>1</ActivityStatusID>
        <PartyAliasID>4</PartyAliasID>
        <PartyAliasName>משיב</PartyAliasName>
        <OrdinalNumber>1</OrdinalNumber>
        <LegalEntityID>15869460</LegalEntityID>
        <CaseLegalEntityID>127674444</CaseLegalEntityID>
        <AuthenticationTypeID>27</AuthenticationTypeID>
        <AuthenticationTypeName>ועדות מקומיות לתכנון</AuthenticationTypeName>
        <LegalEntityNumber>501501332</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משרד הפנים באר שבע </FullAddress>
        <MotionID>0</MotionID>
        <CasePleaID>0</CasePleaID>
        <LinkedCaseID>0</LinkedCaseID>
        <PartyID>2</PartyID>
        <CasePartyCategoryID>2</CasePartyCategoryID>
        <LegalEntityAddressID>71102244</LegalEntityAddressID>
        <PleaTypeID>20</PleaTypeID>
        <GroupPartyAlias>משיבים</GroupPartyAlias>
        <IsConverted>false</IsConverted>
        <LegalEntityRegisteredNameID>1722980</LegalEntityRegisteredNameID>
        <RepresentatedNamesOfAssistant/>
        <LegalEntityTypeID>3</LegalEntityTypeID>
        <IsVerdictExists>false</IsVerdictExists>
        <IsAsirAzir>false</IsAsirAzir>
        <MainAndSecSpec/>
        <IsPublicationProhibited>false</IsPublicationProhibited>
        <PublicationProhibitedFullName>ועדה לתכנון ובנייה באר שבע מחוז דרום</PublicationProhibitedFullName>
      </CaseParties>
      <CaseParties>
        <PartyTypeName>צד</PartyTypeName>
        <ProceedingType>כתב טענות עיקרי</ProceedingType>
        <PleaName>עתירה</PleaName>
        <PartyBelonging>צד ב'</PartyBelonging>
        <RoleName>משיב 2</RoleName>
        <IsSubProceeding>FALSE</IsSubProceeding>
        <FullName>יושב ראש הועדה המחוזית</FullName>
        <LastName>יושב ראש הועדה המחוזית</LastName>
        <PartyPropertyName/>
        <AuthenticationTypeAndNumber>חברות </AuthenticationTypeAndNumber>
        <RepresentatedOrRepresentativesNames>ציון אילוז</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266035470</CasePartyID>
        <PartyTypeID>1</PartyTypeID>
        <ActivityStatusID>1</ActivityStatusID>
        <PartyAliasID>4</PartyAliasID>
        <PartyAliasName>משיב</PartyAliasName>
        <OrdinalNumber>2</OrdinalNumber>
        <LegalEntityID>81719702</LegalEntityID>
        <CaseLegalEntityID>127674440</CaseLegalEntityID>
        <AuthenticationTypeID>3</AuthenticationTypeID>
        <AuthenticationTypeName>חברות</AuthenticationTypeName>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התקווה 4 באר שבע בועדה המחוזית לתכנון ובניה - מחוז הדרום</FullAddress>
        <MotionID>0</MotionID>
        <CasePleaID>0</CasePleaID>
        <BirthDate>1955-01-01T00:00:00+02:00</BirthDate>
        <FatherName>ויקטור חיים</FatherName>
        <LinkedCaseID>0</LinkedCaseID>
        <PartyID>2</PartyID>
        <CasePartyCategoryID>2</CasePartyCategoryID>
        <LegalEntityAddressID>88930857</LegalEntityAddressID>
        <PleaTypeID>20</PleaTypeID>
        <GroupPartyAlias>משיבים</GroupPartyAlias>
        <IsConverted>false</IsConverted>
        <LegalEntityNameID>96115234</LegalEntityNameID>
        <RepresentatedNamesOfAssistant/>
        <LegalEntityTypeID>3</LegalEntityTypeID>
        <IsVerdictExists>false</IsVerdictExists>
        <IsAsirAzir>false</IsAsirAzir>
        <MainAndSecSpec/>
        <IsPublicationProhibited>false</IsPublicationProhibited>
        <PublicationProhibitedFullName>יושב ראש הועדה המחוזית</PublicationProhibitedFullName>
      </CaseParties>
      <CaseParties>
        <PartyTypeName>צד</PartyTypeName>
        <ProceedingType>כתב טענות עיקרי</ProceedingType>
        <PleaName>עתירה</PleaName>
        <PartyBelonging>צד ב'</PartyBelonging>
        <RoleName>משיב 3</RoleName>
        <IsSubProceeding>FALSE</IsSubProceeding>
        <FullName>נתיבי ישראל - החברה הלאומית לתשתיות תחבורה בע"מ</FullName>
        <LastName>נתיבי ישראל - החברה הלאומית לתשתיות תחבורה בע"מ</LastName>
        <PartyPropertyName/>
        <AuthenticationTypeAndNumber>חברות 513467209</AuthenticationTypeAndNumber>
        <RepresentatedOrRepresentativesNames>משה בלטר</RepresentatedOrRepresentativesNames>
        <RepresentatedOrRepresentativesCount>1</RepresentatedOrRepresentativesCount>
        <InvitedBy/>
        <CaseID>80973145</CaseID>
        <CaseJudicialPersonPresentationDS>
          <CaseJudicalPersonActive>
            <CaseID>80973145</CaseID>
            <JudicialPersonID>038682266@GOV.IL</JudicialPersonID>
            <JudicialPersonTypeID>1</JudicialPersonTypeID>
            <JudicialTypeID>1</JudicialTypeID>
            <IsChairman>false</IsChairman>
            <TreatmentStartDate>2024-02-06T18:24:41.743+02:00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266035471</CasePartyID>
        <PartyTypeID>1</PartyTypeID>
        <ActivityStatusID>1</ActivityStatusID>
        <PartyAliasID>4</PartyAliasID>
        <PartyAliasName>משיב</PartyAliasName>
        <OrdinalNumber>3</OrdinalNumber>
        <LegalEntityID>338645</LegalEntityID>
        <CaseLegalEntityID>127674441</CaseLegalEntityID>
        <AuthenticationTypeID>3</AuthenticationTypeID>
        <AuthenticationTypeName>חברות</AuthenticationTypeName>
        <LegalEntityNumber>513467209</LegalEntityNumber>
        <IsMainPartyType>true</IsMainPartyType>
        <CaseDisplayIdentifier>13541-02-24</CaseDisplayIdentifier>
        <CaseTypeID>73</CaseTypeID>
        <CaseTypeName>עתירה מנהלית (עת"מ)</CaseTypeName>
        <CaseName>פז חברת נפט בעמ נ' ועדה לתכנון ובנייה באר שבע מחוז דרום ואח'</CaseName>
        <FullAddress/>
        <EmailAddress>MichalS@iroads.co.il</EmailAddress>
        <MotionID>0</MotionID>
        <CasePleaID>0</CasePleaID>
        <LinkedCaseID>0</LinkedCaseID>
        <PartyID>2</PartyID>
        <CasePartyCategoryID>2</CasePartyCategoryID>
        <LegalEntityEmailAddressID>68105218</LegalEntityEmailAddressID>
        <PleaTypeID>20</PleaTypeID>
        <GroupPartyAlias>משיבים</GroupPartyAlias>
        <IsConverted>false</IsConverted>
        <LegalEntityRegisteredNameID>3495957</LegalEntityRegisteredNameID>
        <RepresentatedNamesOfAssistant/>
        <LegalEntityTypeID>3</LegalEntityTypeID>
        <IsVerdictExists>false</IsVerdictExists>
        <IsAsirAzir>false</IsAsirAzir>
        <MainAndSecSpec/>
        <IsPublicationProhibited>false</IsPublicationProhibited>
        <PublicationProhibitedFullName>נתיבי ישראל - החברה הלאומית לתשתיות תחבורה בע"מ</PublicationProhibitedFullName>
      </CaseParties>
    </CasePartiesSelectionDS>
    <CaseName>פז חברת נפט בעמ נ' ועדה לתכנון ובנייה באר שבע מחוז דרום ואח'</CaseName>
    <CaseDisplayIdentifier>13541-02-24</CaseDisplayIdentifier>
    <CaseInterestID>104</CaseInterestID>
    <CaseTypeShortName>עת"מ</CaseTypeShortName>
  </dt_DecisionCase>
  <dt_DecisionJudgePanel>
    <JudgeID>038682266@GOV.IL</JudgeID>
    <DisplayName>יובל ליבדרו</DisplayName>
    <RoleName>שופט</RoleName>
    <UserTitleName>שופט</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03-6246000</Fax>
    <Phone>03-5111111</Phone>
    <PartyID>2</PartyID>
    <PartyTypeID>2</PartyTypeID>
    <DecisionID>0</DecisionID>
    <StreetName>יגאל אלון 96 a</StreetName>
    <ZipCode>6789140</ZipCode>
    <CityName>תל אביב -יפו</CityName>
    <FullName>משה בלטר</FullName>
    <Email>bgalaw@bgalaw.co.il</Email>
    <IsPublicationProhibited>false</IsPublicationProhibited>
  </dt_LegalEntityDetails>
  <dt_LegalEntityDetails>
    <Fax>09-8631320</Fax>
    <Phone>09-8631103</Phone>
    <AddressDesc>בניין הולנד</AddressDesc>
    <PartyID>1</PartyID>
    <PartyTypeID>1</PartyTypeID>
    <DecisionID>0</DecisionID>
    <StreetName>יורו פארק </StreetName>
    <ZipCode>60972</ZipCode>
    <CityName>יקום</CityName>
    <FullName> פז חברת נפט בעמ</FullName>
    <Email>barak@elromlaw.co.il</Email>
    <IsPublicationProhibited>false</IsPublicationProhibited>
  </dt_LegalEntityDetails>
  <dt_LegalEntityDetails>
    <Fax>03-5374042</Fax>
    <Phone>03-5374044</Phone>
    <AddressDesc/>
    <PartyID>1</PartyID>
    <PartyTypeID>2</PartyTypeID>
    <DecisionID>0</DecisionID>
    <StreetName>דרך מנחם בגין 74</StreetName>
    <ZipCode>6721516</ZipCode>
    <CityName>תל אביב -יפו</CityName>
    <FullName>עמינדב בלוזר</FullName>
    <Email>ami@bluzerlaw.co.il</Email>
    <IsPublicationProhibited>false</IsPublicationProhibited>
  </dt_LegalEntityDetails>
  <dt_LegalEntityDetails>
    <Phone>08-6271010</Phone>
    <PartyID>2</PartyID>
    <PartyTypeID>1</PartyTypeID>
    <DecisionID>0</DecisionID>
    <StreetName>משרד הפנים</StreetName>
    <ZipCode>84101</ZipCode>
    <CityName>באר שבע</CityName>
    <FullName> ועדה לתכנון ובנייה באר שבע מחוז דרום</FullName>
    <IsPublicationProhibited>false</IsPublicationProhibited>
  </dt_LegalEntityDetails>
  <dt_LegalEntityDetails>
    <AddressDesc>בועדה המחוזית לתכנון ובניה - מחוז הדרום</AddressDesc>
    <PartyID>2</PartyID>
    <PartyTypeID>1</PartyTypeID>
    <DecisionID>0</DecisionID>
    <StreetName>התקווה 4</StreetName>
    <CityName>באר שבע</CityName>
    <FullName> יושב ראש הועדה המחוזית</FullName>
    <IsPublicationProhibited>false</IsPublicationProhibited>
  </dt_LegalEntityDetails>
  <dt_LegalEntityDetails>
    <Fax>03-7355850</Fax>
    <Phone>03-7355981</Phone>
    <PartyID>2</PartyID>
    <PartyTypeID>1</PartyTypeID>
    <DecisionID>0</DecisionID>
    <StreetName>שרון אריאל 3</StreetName>
    <CityName>אור יהודה</CityName>
    <FullName> נתיבי ישראל - החברה הלאומית לתשתיות תחבורה בע"מ</FullName>
    <Email>MichalS@iroads.co.il</Email>
    <IsPublicationProhibited>false</IsPublicationProhibited>
  </dt_LegalEntityDetails>
  <dt_CaseJudicalPersonActive>
    <CaseJudicalPerson>שופט יובל ליבדרו</CaseJudicalPerson>
  </dt_CaseJudicalPersonActive>
  <dt_Sitting>
    <PreviousMeetingDate>2024-07-15T15:30:00+03:00</PreviousMeetingDate>
    <PreviousSittingTypeID>5</PreviousSittingTypeID>
    <PreviousMeetingDisplayName>שופט יובל ליבדרו</PreviousMeetingDisplayName>
    <PreviousMeetingRoleName>שופט</PreviousMeetingRoleName>
    <PreviousMeetingUserTitleName>שופט</PreviousMeetingUserTitleName>
    <PreviousMeetingUserUPN>038682266@GOV.IL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39F6-7124-4F9A-B6D8-27299DA42992}">
  <ds:schemaRefs/>
</ds:datastoreItem>
</file>

<file path=customXml/itemProps2.xml><?xml version="1.0" encoding="utf-8"?>
<ds:datastoreItem xmlns:ds="http://schemas.openxmlformats.org/officeDocument/2006/customXml" ds:itemID="{F03B3D24-3B1B-42E3-A9B0-98E2BB28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5789</Words>
  <Characters>28950</Characters>
  <Application>Microsoft Office Word</Application>
  <DocSecurity>0</DocSecurity>
  <Lines>241</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2024-08-05T12:04:00Z</cp:lastPrinted>
  <dcterms:created xsi:type="dcterms:W3CDTF">2024-08-11T05:54:00Z</dcterms:created>
  <dcterms:modified xsi:type="dcterms:W3CDTF">2024-08-11T05:54:00Z</dcterms:modified>
</cp:coreProperties>
</file>